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https://www.autoritedelaconcurrence.fr/fr/decision/relative-une-saisine-de-la-societe-sotradex</w:t>
      </w:r>
    </w:p>
    <w:p>
      <w:r>
        <w:t>Pages translated : 2</w:t>
      </w:r>
    </w:p>
    <w:p/>
    <w:p>
      <w:r>
        <w:rPr>
          <w:b/>
        </w:rPr>
        <w:t>[Pages 1–2]</w:t>
      </w:r>
    </w:p>
    <w:p>
      <w:r>
        <w:t xml:space="preserve">FRENCH REPUBLIC  </w:t>
        <w:br/>
        <w:t xml:space="preserve">Decision No. 03-D-56 of December 9, 2003  </w:t>
        <w:br/>
        <w:t>concerning a referral by the company Sotradex</w:t>
      </w:r>
    </w:p>
    <w:p>
      <w:r>
        <w:t>The Competition Council (standing committee),</w:t>
      </w:r>
    </w:p>
    <w:p>
      <w:r>
        <w:t>Having regard to the letter registered on June 23, 2003, under number 03/0042 F, by which the company Sotradex referred to the Competition Council practices implemented by the Ministry of Defense;</w:t>
      </w:r>
    </w:p>
    <w:p>
      <w:r>
        <w:t>Having regard to Book IV of the Commercial Code relating to the freedom of prices and competition and Decree No. 2002-689 of April 30, 2002, setting its conditions of application;</w:t>
      </w:r>
    </w:p>
    <w:p>
      <w:r>
        <w:t>Having regard to the other documents in the file;</w:t>
      </w:r>
    </w:p>
    <w:p>
      <w:r>
        <w:t>The rapporteur, the deputy general rapporteur, the Government Commissioner, the representative of the company Sotradex, heard during the session of October 14, 2003;</w:t>
      </w:r>
    </w:p>
    <w:p>
      <w:r>
        <w:t>Adopts the following decision:</w:t>
      </w:r>
    </w:p>
    <w:p>
      <w:r>
        <w:t>1. The company Sotradex specializes in demining and the neutralization of weapons or munitions. It denounces the behavior of the Central Directorate of Army Equipment (DCMAT) of the Ministry of Defense, which allegedly modified, at the beginning of 2003, the procedure implemented for the awarding of contracts for demining and the neutralization of weapons or munitions. The company Sotradex accuses the DCMAT of having entrusted an NATO agency, NAMSA (NATO Maintenance and Supply Agency), with the awarding of these contracts, whereas this organization does not comply with the public procurement code.</w:t>
      </w:r>
    </w:p>
    <w:p>
      <w:r>
        <w:t>2. Pursuant to the first paragraph of Article L. 462-8 of the Commercial Code, "the Competition Council may declare, by reasoned decision, the referral inadmissible (...) if it considers that the facts invoked do not fall within the scope of its jurisdiction."</w:t>
      </w:r>
    </w:p>
    <w:p>
      <w:r>
        <w:t>3. In its ruling of October 18, 1999 (Prefect of the Île-de-France region, Prefect of Paris v. Court of Appeal of Paris, Aéroports de Paris and Air France v. TAT European Airlines), the Conflict Tribunal held that while public entities may be sanctioned by the Competition Council acting under the control of the judicial authority for engaging in production, distribution, or service activities, the decisions by which these entities carry out their public service mission using public power prerogatives fall within the jurisdiction of the administrative court to assess their legality and, where applicable, to rule on the liability incurred by these public entities.</w:t>
      </w:r>
    </w:p>
    <w:p>
      <w:r>
        <w:t>4. In its Decision No. 02-D-18 concerning the practices of the State and AFAN (Association for National Archaeological Excavations), the Competition Council declared itself incompetent to assess the legality of practices attributable to the State consisting, on the one hand, of refusing to comply with the provisions of the public procurement code, and on the other hand, of exerting pressure to impose AFAN as a service provider to the department of Pyrénées-Orientales for conducting preventive archaeological excavation works.</w:t>
      </w:r>
    </w:p>
    <w:p>
      <w:r>
        <w:t>5. In this case, the measures that would have been taken by the DCMAT of the Ministry of Defense for organizing demining and neutralization operations of weapons or munitions are decisions made by the State within the framework of organizing a public service mission, using public power prerogatives. The Competition Council is not competent to assess their legality.</w:t>
      </w:r>
    </w:p>
    <w:p>
      <w:r>
        <w:t>6. Furthermore, the referring party criticizes the behavior of the Ministry of Defense and NAMSA in light of the provisions of the public procurement code but does not allege practices that would be prohibited by Articles L. 420-1 and L. 420-2 of the Commercial Code.</w:t>
      </w:r>
    </w:p>
    <w:p>
      <w:r>
        <w:t>7. It must be noted that the facts invoked do not fall within the jurisdiction of the Competition Council and to apply the provisions of Article L. 462-8 of the aforementioned Commercial Code.</w:t>
      </w:r>
    </w:p>
    <w:p>
      <w:r>
        <w:t xml:space="preserve">DECISION  </w:t>
        <w:br/>
        <w:t>Single Article – The referral registered under number 03/0042 F is declared inadmissible.</w:t>
      </w:r>
    </w:p>
    <w:p>
      <w:r>
        <w:t>Deliberated, on the oral report of Ms. Sévajols by Ms. Pasturel, Vice-President, Mr. Nasse, Vice-President, and Mr. Piot, Member.</w:t>
      </w:r>
    </w:p>
    <w:p>
      <w:r>
        <w:t xml:space="preserve">The Secretary of the session, The Vice-President, presiding over the session,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