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https://www.autoritedelaconcurrence.fr/fr/decision/relative-une-saisine-de-la-societe-techno-direct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92-D-02 of January 14, 1992  </w:t>
        <w:br/>
        <w:t xml:space="preserve">concerning a referral by the company Techno-Direct  </w:t>
        <w:br/>
        <w:t xml:space="preserve">The Competition Council,  </w:t>
        <w:br/>
        <w:t xml:space="preserve">Having regard to the letter registered on December 26, 1989, under number F 295, by which the company Techno-Direct referred to the Competition Council practices it considers anti-competitive emanating from the company La Commande électronique;  </w:t>
        <w:br/>
        <w:t xml:space="preserve">Having regard to Ordinance No. 86-1243 of December 1, 1986, relating to the freedom of prices and competition as amended, together with Decree No. 86-1309 of December 29, 1986, as amended, adopted for its application;  </w:t>
        <w:br/>
        <w:t xml:space="preserve">Having regard to the letter from the company Techno-Direct registered on January 2, 1992;  </w:t>
        <w:br/>
        <w:t xml:space="preserve">Having regard to the other documents in the file;  </w:t>
        <w:br/>
        <w:t xml:space="preserve">The rapporteur, the general rapporteur, and the Government Commissioner having been heard;  </w:t>
        <w:br/>
        <w:t xml:space="preserve">Considering that, by the aforementioned letter, the representative of the company Techno-Direct has indicated that it intends to withdraw its referral;  </w:t>
        <w:br/>
        <w:t xml:space="preserve">Considering that, in particular given the modifications made to the contested distribution system, there is no need for the Council to take action ex officio,  </w:t>
        <w:br/>
        <w:t xml:space="preserve">Decides:  </w:t>
        <w:br/>
        <w:t xml:space="preserve">Sole Article. - The file F 295 is closed.  </w:t>
        <w:br/>
        <w:t xml:space="preserve">Deliberated in permanent commission on the oral report of Ms. Daubigney, in its session of January 14, 1992, where the following were present:  </w:t>
        <w:br/>
        <w:t xml:space="preserve">Mr. Laurent, President;  </w:t>
        <w:br/>
        <w:t xml:space="preserve">Messrs. Béteille and Pineau, Vice-Presidents.  </w:t>
        <w:br/>
        <w:t xml:space="preserve">The substitute general rapporteur, The President,  </w:t>
        <w:br/>
        <w:t xml:space="preserve">Mr. Santarelli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