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https://www.autoritedelaconcurrence.fr/fr/decision/relative-une-saisine-de-la-societe-tnc-distribution-concernant-le-commerce-en-gros-de</w:t>
      </w:r>
    </w:p>
    <w:p>
      <w:r>
        <w:t>Pages translated : 9</w:t>
      </w:r>
    </w:p>
    <w:p/>
    <w:p>
      <w:r>
        <w:rPr>
          <w:b/>
        </w:rPr>
        <w:t>[Pages 1–3]</w:t>
      </w:r>
    </w:p>
    <w:p>
      <w:r>
        <w:t xml:space="preserve">FRENCH REPUBLIC  </w:t>
        <w:br/>
        <w:t xml:space="preserve">Decision No. 06-D-19 of July 6, 2006  </w:t>
        <w:br/>
        <w:t xml:space="preserve">concerning a referral from the company TNC Distribution  </w:t>
        <w:br/>
        <w:t xml:space="preserve">regarding the wholesale trade of spare parts  </w:t>
        <w:br/>
        <w:t>for automobiles</w:t>
      </w:r>
    </w:p>
    <w:p>
      <w:r>
        <w:t xml:space="preserve">The Competition Council (permanent commission),  </w:t>
        <w:br/>
        <w:t xml:space="preserve">Having regard to the letter registered on January 11, 2006, under number 06/0004 F, by which the company TNC Distribution referred to the Competition Council practices implemented by the automobile manufacturers Peugeot, Citroën, and Renault;  </w:t>
        <w:br/>
        <w:t xml:space="preserve">Having regard to Articles 81 and 82 of the Treaty establishing the European Community;  </w:t>
        <w:br/>
        <w:t xml:space="preserve">Having regard to Book IV of the Commercial Code relating to price and competition freedom and Decree 2002-689 of April 30, 2002, as amended, setting the conditions for its application;  </w:t>
        <w:br/>
        <w:t xml:space="preserve">Having regard to the observations presented by the company TNC Distribution and by the Government Commissioner;  </w:t>
        <w:br/>
        <w:t xml:space="preserve">Having regard to the other documents in the file;  </w:t>
        <w:br/>
        <w:t xml:space="preserve">The rapporteur, the deputy general rapporteur, the Government Commissioner, and the representatives of the company TNC Distribution heard during the session of June 6, 2006;  </w:t>
        <w:br/>
        <w:t>Adopts the following decision:</w:t>
      </w:r>
    </w:p>
    <w:p>
      <w:r>
        <w:t xml:space="preserve">I. Findings  </w:t>
        <w:br/>
        <w:t xml:space="preserve">A. THE LEGAL FRAMEWORK FOR THE MANUFACTURE AND MARKETING OF "VISIBLE" REPLACEMENT PARTS FOR AUTOMOBILES  </w:t>
        <w:br/>
        <w:t xml:space="preserve">1. The present case concerns the purchase and wholesale resale in France of replacement parts for automobiles, visible in the context of the normal use of the vehicle (the term "visible part" will simply be used hereinafter).  </w:t>
        <w:br/>
        <w:t xml:space="preserve">2. Visible parts may be subject to protection under intellectual property rights for the benefit of the automobile manufacturer. In particular, these parts may benefit from the protection granted to designs and models. In this regard, Directive 98/71/EC of the European Parliament and of the Council of October 13, 1998, on the legal protection of designs (OJEC L 289, p. 28) has provided for the harmonization of national legislations of the Member States.  </w:t>
        <w:br/>
        <w:t xml:space="preserve">3. Article 12, paragraph 1, of the directive states in particular: "The registration of a design or model confers on its holder the exclusive right to use it and to prohibit any third party from using it without his consent. By use, within the meaning of this provision, is particularly understood the manufacture, offer, marketing, import, export, or use of a product in which the design or model is incorporated or to which it is applied or the storage of the product for the aforementioned purposes." The protection may be extended in periods of five years up to twenty-five years.  </w:t>
        <w:br/>
        <w:t xml:space="preserve">4. However, the directive contains a specific provision for products that themselves constitute a part of a complex product, that is to say, essentially a product composed of multiple parts that can be replaced. When such a part is used to allow the repair of the damaged complex product in order to restore its initial appearance, the protection under the design or model incorporated or applied to the part in question depends on national legislations. Article 14 indeed states: "[Until a possible amendment of the directive] Member States maintain in force their existing legal provisions relating to the use of the design or model of a part used for the purpose of allowing the repair of a complex product in order to restore its initial appearance and introduce modifications to these provisions only if the objective is to liberalize the market for these parts."  </w:t>
        <w:br/>
        <w:t xml:space="preserve">5. The legislations of the Member States are divergent in this regard. While nine States have legislation under which the protection of designs or models does not apply to visible parts used to repair an automobile, France, along with fifteen other States, grants such protection.  </w:t>
        <w:br/>
        <w:t>6. The European Commission submitted, in September 2004, a draft directive (SEC (2004) 1097) aimed at liberalizing the market for these replacement parts throughout the Union, proposing to no longer allow the granting of exclusive rights based on the protection of designs and models for visible repair parts of complex products (the so-called "repair clause" principle). To date, this proposal has not been adopted.</w:t>
      </w:r>
    </w:p>
    <w:p>
      <w:r>
        <w:t xml:space="preserve">7. In 1988, when asked for a preliminary ruling by two national courts seized of disputes between automobile manufacturers and manufacturers or wholesalers of body parts made without the authorization of said manufacturers, the Court of Justice of the European Communities ruled:  </w:t>
        <w:br/>
        <w:t xml:space="preserve">"(…) in the state of Community law and in the absence of unification within the Community or harmonization of legislations, the determination of the conditions and modalities [of the protection of designs and models] falls under national law. It is for the national legislator to determine the products that may benefit from protection even if they are part of an already protected ensemble as such. It is important to note that the ability for the holder of a design patent to oppose the manufacture by third parties, for the purpose of sale on the [national] market or export of products incorporating the design or to prevent the importation of such products that have been manufactured without his consent in other Member States constitutes the substance of his exclusive right. Preventing the application of national legislation under such conditions would therefore undermine the very existence of this right.  </w:t>
        <w:br/>
        <w:t xml:space="preserve">(…)  </w:t>
        <w:br/>
        <w:t xml:space="preserve">(…) the mere fact of obtaining the benefit of an exclusive right granted by law, a right whose substance consists in being able to prevent the manufacture and sale of products protected by unauthorized third parties, cannot be regarded as an abusive method of eliminating competition.  </w:t>
        <w:br/>
        <w:t xml:space="preserve">Regarding the exercise of the exclusive right, it may be prohibited by Article [82 EC] if it gives rise to certain abusive behaviors by a company in a dominant position such as the arbitrary refusal to supply spare parts to independent repairers, setting the prices of spare parts at an unfair level, or the decision to cease production of spare parts for a certain model, while many cars of that model are still in circulation (…)  </w:t>
        <w:br/>
        <w:t xml:space="preserve">Specifically regarding the price difference between parts sold by the manufacturer and those sold by independent manufacturers, it should be noted that (…) the superiority of the price of the former compared to that of the latter is not necessarily constitutive of abuse, as the holder of a design patent may legitimately claim remuneration for the expenses he has incurred in developing the patented design (…)” (Judgment of October 5, 1988, Maxicar/Renault, 53/87, Rec. p. 6039).  </w:t>
        <w:br/>
        <w:t xml:space="preserve">The Court specified:  </w:t>
        <w:br/>
        <w:t>“(…) an obligation imposed on the holder of the protected design to grant third parties, even in return for reasonable royalties, a license for the supply of products incorporating the design would deprive this holder of the substance of his exclusive right (…) the refusal to grant such a license cannot in itself constitute an abuse of a dominant position” (Judgment of October 5, 1988, Volvo/Erik Veng, 238/87, Rec. p. 6211).</w:t>
      </w:r>
    </w:p>
    <w:p>
      <w:r>
        <w:rPr>
          <w:b/>
        </w:rPr>
        <w:t>[Pages 4–6]</w:t>
      </w:r>
    </w:p>
    <w:p>
      <w:r>
        <w:t>B. MARKET DATA ON THE COMMERCIALIZATION OF "VISIBLE" REPLACEMENT PARTS FOR AUTOMOBILES</w:t>
      </w:r>
    </w:p>
    <w:p>
      <w:r>
        <w:t>8. According to the explanatory memorandum of the aforementioned draft directive from the European Commission, which was attached to the referral leading to this decision, the annual turnover for new replacement parts for automobiles is estimated to be between 42 and 45 billion euros within the Community of fifteen. The association "European Campaign for the Freedom of the Automotive Parts and Repair Market" (hereinafter "ECAR"), which includes consumer associations, insurers, automobile repairers, and manufacturers of automotive spare parts, estimates the share of "visible" parts at 25%, or just over 9 billion euros, while automobile manufacturers estimate it at only 5%.</w:t>
      </w:r>
    </w:p>
    <w:p>
      <w:r>
        <w:t>9. According to a document from ECAR also produced as an annex to the referral, body parts would represent 75% of visible replacement parts, integrated lighting in the body 13%, and automotive glazing 12%. In the Community of fifteen, 20% of all used replacement parts would be manufactured by automobile manufacturers and 80% by independent manufacturers. However, no specific details are provided to determine the distribution of production by independent manufacturers between visible parts produced with the manufacturer's consent and visible parts manufactured without such consent. A manufacturer may produce the same product in both contexts. The ECAR document further indicates that, regarding all replacement parts, manufacturers distribute just over 55% and independent distributors just under 45%. These parts would be used for more than 60% by authorized dealers and repairers, with the remainder by independent repairers.</w:t>
      </w:r>
    </w:p>
    <w:p>
      <w:r>
        <w:t>10. The explanatory memorandum of the draft directive specifies, however, that the majority (80% according to some estimates) of repairs with visible parts would be carried out using parts recovered from damaged vehicles.</w:t>
      </w:r>
    </w:p>
    <w:p>
      <w:r>
        <w:t>11. Finally, the said memorandum indicates that, as part of a study on a sample of 11 types of replacement parts for 20 car models in 9 member states and Norway (6 countries currently refusing the repair clause and 4 granting it), the price of original parts (manufactured by or with the manufacturer's consent) was found to be 6.4% to 10.3% higher in countries refusing the repair clause than in those granting it.</w:t>
      </w:r>
    </w:p>
    <w:p>
      <w:r>
        <w:t>12. Neither the referral leading to this decision nor the annexed documents provide specific elements regarding the situation in France.</w:t>
      </w:r>
    </w:p>
    <w:p>
      <w:r>
        <w:t>C. THE COMPANY TNC DISTRIBUTION</w:t>
      </w:r>
    </w:p>
    <w:p>
      <w:r>
        <w:t>13. Registered on October 26, 2002, the SARL TNC Distribution is engaged in the wholesale sale of spare parts and accessories for automobiles and all services related to this purpose.</w:t>
      </w:r>
    </w:p>
    <w:p>
      <w:r>
        <w:t>14. According to the referral, it markets replacement spare parts intended to substitute for original spare parts for vehicles of various brands such as Peugeot, Citroën, and Renault. It sources these replacement parts from manufacturers located in Europe, Asia, and Latin America.</w:t>
      </w:r>
    </w:p>
    <w:p>
      <w:r>
        <w:t>D. THE FACTS AND PRACTICES ALLEGED</w:t>
      </w:r>
    </w:p>
    <w:p>
      <w:r>
        <w:t>15. In September 2005, a large number of exterior mirrors, headlights, and lights for Peugeot, Citroën, and Renault vehicles, imported by TNC Distribution, were subject to two customs seizures following a roadside inspection.</w:t>
      </w:r>
    </w:p>
    <w:p>
      <w:r>
        <w:t>16. Customs notified these seizures to Peugeot, Citroën, and Renault. Experts appointed by these manufacturers having deemed most of these parts counterfeit, the manufacturers proceeded with the seizure of 9,088 replacement parts for Renault vehicles and 13,447 replacement parts for Peugeot-Citroën vehicles.</w:t>
      </w:r>
    </w:p>
    <w:p>
      <w:r>
        <w:t>17. TNC Distribution and its manager were summoned by Peugeot, Citroën, and Renault to appear before the criminal court to answer for acts of copyright infringement, design and model infringement, and trademark infringement as provided and punished by Articles L. 335-2, L. 335-3, L. 716-9, and L. 716-10 of the Intellectual Property Code.</w:t>
      </w:r>
    </w:p>
    <w:p>
      <w:r>
        <w:t>18. By letter dated January 11, 2006, TNC Distribution referred the matter to the Competition Council. It accuses Peugeot, Citroën, and Renault of having formed a tacit agreement to obstruct free competition in the market for replacement spare parts, under the guise of defending an intellectual property right. This agreement would be notably revealed by the legal actions taken against it. TNC Distribution ultimately believes that the companies Peugeot, Citroën, and Renault violate Articles L. 420-1 and L. 420-2 of the Commercial Code by:</w:t>
        <w:br/>
        <w:t>• monopolizing the market for replacement spare parts intended for their vehicles by prohibiting independent resellers;</w:t>
        <w:br/>
        <w:t>• regulating the pricing of spare parts and more specifically by selling their parts at a price much higher than that of TNC Distribution;</w:t>
        <w:br/>
        <w:t>• limiting the market to their selective distribution networks, whereas this type of distribution would not be justified given the nature of the distributed products.</w:t>
      </w:r>
    </w:p>
    <w:p>
      <w:r>
        <w:t>19. By letter dated May 12, 2006, TNC Distribution supplemented its referral by providing a comparative price table for several dozen models of headlights and lighting elements for Peugeot, Citroën, and Renault vehicles. The first column is titled "purchase price," the second "TNC wholesale price," the third "TNC margin," the fourth "manufacturer price," and the fifth "manufacturer margin." For example, for one of the items in question, the following figures are listed:</w:t>
        <w:br/>
        <w:t>Purchase price TNC wholesale price TNC margin Manufacturer price Manufacturer margin</w:t>
        <w:br/>
        <w:t>9.20 25.18 273.70% 81.60 886.96%</w:t>
        <w:br/>
        <w:t>The commentary accompanying the table indicates that the consumer bears the costs of the monopoly organized by the manufacturers through their intellectual and industrial property rights and adds that "when the law degenerates, there is abuse and the abuse is reprehensible."</w:t>
      </w:r>
    </w:p>
    <w:p>
      <w:r>
        <w:t>20. During the session held by the Competition Council on June 6, 2006, TNC Distribution also argued that Peugeot, Citroën, and Renault had a discriminatory attitude towards it, as they would not pursue certain manufacturers or wholesalers marketing in France unauthorized visible spare parts. TNC Distribution also contended that a number of rights claimed by said manufacturers in the proceedings initiated against it before the criminal court were in fact expired.</w:t>
      </w:r>
    </w:p>
    <w:p>
      <w:r>
        <w:t>II. Discussion</w:t>
      </w:r>
    </w:p>
    <w:p>
      <w:r>
        <w:t>21. Article L. 462-8, paragraph 2 of the Commercial Code states that: "The Competition Council may (...) dismiss the referral by a reasoned decision when it considers that the alleged facts are not supported by sufficiently probative elements."</w:t>
      </w:r>
    </w:p>
    <w:p>
      <w:r>
        <w:t>A. ON THE ALLEGED ABUSES OF DOMINANT POSITION</w:t>
      </w:r>
    </w:p>
    <w:p>
      <w:r>
        <w:t>1. REGARDING ACCESS TO THE MARKET</w:t>
      </w:r>
    </w:p>
    <w:p>
      <w:r>
        <w:t>22. TNC Distribution argues that by refusing the importation and marketing of replacement spare parts intended for their vehicles, the manufacturers are prohibiting independent resellers, such as itself, from accessing the market for spare parts intended for their brand vehicles.</w:t>
      </w:r>
    </w:p>
    <w:p>
      <w:r>
        <w:t>23. However, it follows from the presentation of the legal framework applicable to the manufacture and marketing of visible replacement parts for automobiles that the exclusive right enjoyed by manufacturers for a certain duration regarding the parts in question is legal, as it stems, in particular, from the protection granted in France to designs and models. Its exercise cannot therefore, according to the aforementioned judgments of the Court of Justice of the European Communities, constitute an abuse of dominant position in itself.</w:t>
      </w:r>
    </w:p>
    <w:p>
      <w:r>
        <w:t>24. It should be emphasized that, even though the generalization of the repair clause is debated at the community level and has been the subject of a draft directive from the European Commission, the state of the law has not yet evolved in the direction desired by TNC Distribution.</w:t>
      </w:r>
    </w:p>
    <w:p>
      <w:r>
        <w:t>25. The refusal of Peugeot, Citroën, and Renault to allow the importation and marketing of visible replacement parts for their vehicles for which they have not authorized production under their exclusive right cannot therefore be qualified as an abuse of dominant position in itself, nor can it be inferred solely from the companies' desire to enforce their industrial property rights, if necessary by bringing the matter before the criminal court.</w:t>
      </w:r>
    </w:p>
    <w:p>
      <w:r>
        <w:rPr>
          <w:b/>
        </w:rPr>
        <w:t>[Pages 7–9]</w:t>
      </w:r>
    </w:p>
    <w:p>
      <w:r>
        <w:t>26. In this regard, it is not for the Competition Council to determine whether the referral to the criminal judge was made in good faith, given that certain rights claimed by these companies may be expired. Considering the generality of the vehicle models for which the seized parts are intended, the file does not present elements that clearly show that the action taken could have an abusive character, which could justify postponing a decision on this point pending the judge's ruling.</w:t>
      </w:r>
    </w:p>
    <w:p>
      <w:r>
        <w:t>27. Furthermore, TNC Distribution has not provided any evidence showing that Peugeot, Citroën, or Renault, or suppliers authorized by them, have refused to supply it with legally marketable parts in France, which could lead to its exclusion from the wholesale distribution market for these parts. It also appears from the referral that part of the parts subject to the initial customs seizures was not deemed counterfeit by the experts of said manufacturers.</w:t>
      </w:r>
    </w:p>
    <w:p>
      <w:r>
        <w:t>2. REGARDING PRICES</w:t>
      </w:r>
    </w:p>
    <w:p>
      <w:r>
        <w:t>28. TNC Distribution believes that the price table provided with its letter of May 12 is "particularly instructive regarding the price difference that exists for the same item when sold by a wholesaler and when sold by a manufacturer."</w:t>
      </w:r>
    </w:p>
    <w:p>
      <w:r>
        <w:t>29. As noted by the Court of Justice in the judgments Maxicar/Renault and Volvo/Erik Veng, the exercise of the exclusive right by the holder of a design relating to visible replacement parts for automobiles may be prohibited by Article 82 EC if it leads, from a company in a dominant position, to certain abusive behaviors such as setting the prices of said parts at an "unfair" level.</w:t>
      </w:r>
    </w:p>
    <w:p>
      <w:r>
        <w:t>30. However, in this case, while the table produced aims to compare the prices and margins of manufacturers and TNC Distribution, it does not specify the nature of the prices in question (sales to end users or to intermediaries), nor how they were collected. The "manufacturer's margin" appears to be calculated based on the "purchase price" listed in the table, which is presumably the price from TNC Distribution's own suppliers. In the session, in response to requests for clarification, TNC Distribution merely indicated that it could not know the costs of the manufacturers and therefore provide anything else.</w:t>
      </w:r>
    </w:p>
    <w:p>
      <w:r>
        <w:t>31. While it is understandable that a company referring the Competition Council regarding practices attributed to another company cannot accurately state the costs of that latter, it is nevertheless necessary, for the elements provided by the referrer to be considered sufficiently convincing to initiate an investigation, that these elements be sufficiently explained so that their value and relevance can be assessed in relation to the arguments put forward. This is not the case here since TNC Distribution has not provided any detailed explanation regarding the preparation of its table.</w:t>
      </w:r>
    </w:p>
    <w:p>
      <w:r>
        <w:t>32. This would have been all the more necessary since, on the one hand, in the judgment Maxicar/Renault, the Court of Justice recalled that the superiority of the prices of parts sold by the manufacturer compared to the prices of parts sold by independent manufacturers does not necessarily constitute an abuse, as the holder of a protected design may legitimately claim compensation for the expenses incurred to develop the design, and on the other hand, according to the data presented by the European Commission in the explanatory memorandum of the draft directive mentioned, the price differences of parts sold by or with the agreement of manufacturers between member states that allow and those that do not currently allow the repair clause, that is to say between member states where there is and where there is not competition from parts manufactured independently of the manufacturer, are not such (6.4% to 10.3%) as to suggest the existence of a probable situation of generalized abuse of exclusive rights in the countries where they are exercised.</w:t>
      </w:r>
    </w:p>
    <w:p>
      <w:r>
        <w:t>33. TNC Distribution has therefore not allowed the Council to assess the significance of the elements provided in support of its denunciation of the allegedly excessive prices charged by Peugeot, Citroën, and Renault, and a fortiori to justify the initiation of an investigation in this regard.</w:t>
      </w:r>
    </w:p>
    <w:p>
      <w:r>
        <w:t>3. REGARDING DISCRIMINATIONS</w:t>
      </w:r>
    </w:p>
    <w:p>
      <w:r>
        <w:t>34. TNC Distribution has also not provided any evidence to support its assertion, made during the session, of the existence of discriminatory practices that would result in other wholesalers marketing unauthorized visible replacement parts not being pursued by these manufacturers.</w:t>
      </w:r>
    </w:p>
    <w:p>
      <w:r>
        <w:t>B. ON THE ALLEGED CARTELS</w:t>
      </w:r>
    </w:p>
    <w:p>
      <w:r>
        <w:t>1. REGARDING THE HORIZONTAL CARTEL BETWEEN THE THREE MANUFACTURERS</w:t>
      </w:r>
    </w:p>
    <w:p>
      <w:r>
        <w:t>35. According to TNC Distribution, Peugeot, Citroën, and Renault would have tacitly agreed to maintain their exclusive rights over visible replacement spare parts, thereby restricting competition on products and prices. The legal actions taken against it, which would not have been initiated by other manufacturers, would reveal this cartel.</w:t>
      </w:r>
    </w:p>
    <w:p>
      <w:r>
        <w:t>36. However, the mere fact that the three manufacturers in question claim, use, and defend intellectual property rights over certain products, while other manufacturers do not, cannot characterize an anti-competitive agreement. Indeed, as the consistent decision-making practice of the Competition Council reminds us, mere parallel behavior is not sufficient to demonstrate a concerted practice. This is even more true in this case as the incriminated manufacturers are merely implementing the consequences of industrial and commercial organization choices made within a legal framework.</w:t>
      </w:r>
    </w:p>
    <w:p>
      <w:r>
        <w:t>2. REGARDING THE VERTICAL CARTEL RESULTING FROM SELECTIVE DISTRIBUTION NETWORKS</w:t>
      </w:r>
    </w:p>
    <w:p>
      <w:r>
        <w:t>37. TNC Distribution merely mentions a limitation of the market in favor of the selective distribution networks of the three automobile manufacturers without providing a single element to support this argument. The elements noted in point 27 of this decision rather go in the opposite direction. Therefore, the Council cannot assess the possibility of a restriction of competition regarding the distribution of legally marketable visible spare parts in France, which could potentially be analyzed in light of Regulation (EC) No. 1400/2002 of the Commission, of July 31, 2002, concerning the application of Article 81, paragraph 3, EC to categories of vertical agreements and concerted practices in the automobile sector (OJEC L 203, p. 30).</w:t>
      </w:r>
    </w:p>
    <w:p>
      <w:r>
        <w:t>38. It follows from all of the above that the referral is not supported by sufficiently convincing elements. It is therefore necessary to reject it pursuant to Article L. 462-8, paragraph 2, of the Commercial Code.</w:t>
      </w:r>
    </w:p>
    <w:p>
      <w:r>
        <w:t>DECISION</w:t>
      </w:r>
    </w:p>
    <w:p>
      <w:r>
        <w:t>Sole Article: The referral from TNC Distribution is rejected.</w:t>
      </w:r>
    </w:p>
    <w:p>
      <w:r>
        <w:t>Deliberated on the oral report of Ms. Fenayrou-Degas, by Mr. Lasserre, president, Ms. Aubert, vice-president, and Mr. Honorat, member.</w:t>
      </w:r>
    </w:p>
    <w:p>
      <w:r>
        <w:t>The session secretary, The president,</w:t>
      </w:r>
    </w:p>
    <w:p>
      <w:r>
        <w:t>Catherine Duparcq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