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https://www.autoritedelaconcurrence.fr/fr/decision/relative-une-saisine-de-la-societe-toffolutti-0</w:t>
      </w:r>
    </w:p>
    <w:p>
      <w:r>
        <w:t>Pages translated : 5</w:t>
      </w:r>
    </w:p>
    <w:p/>
    <w:p>
      <w:r>
        <w:rPr>
          <w:b/>
        </w:rPr>
        <w:t>[Pages 1–3]</w:t>
      </w:r>
    </w:p>
    <w:p>
      <w:r>
        <w:t>FRENCH REPUBLIC</w:t>
        <w:br/>
        <w:t>Decision No. 08-D-17 of July 25, 2008</w:t>
        <w:br/>
        <w:t>regarding a referral from the company Toffolutti</w:t>
        <w:br/>
        <w:t>The Competition Council (permanent commission)</w:t>
        <w:br/>
        <w:t>Considering the letter registered on September 28, 1998 under number F 1081 by which the company Toffolutti referred to the Competition Council practices implemented by the companies Screg, Colas, Devaux, and Eurovia that it considers anti-competitive;</w:t>
        <w:br/>
        <w:t>Considering the judgment of December 12, 2006 by which the Paris Court of Appeal annulled decision No. 05-D-71 of the Competition Council of December 19, 2005 and referred the case back to the Competition Council for the continuation of the procedure, the file having, following this referral, been re-registered under number 06/0103-F;</w:t>
        <w:br/>
        <w:t>Considering Book IV of the Commercial Code relating to the freedom of prices and competition;</w:t>
        <w:br/>
        <w:t>Considering the other documents in the file;</w:t>
        <w:br/>
        <w:t>Considering the observations presented by the representative of the company Toffolutti and the Government Commissioner;</w:t>
        <w:br/>
        <w:t>The rapporteur, the general rapporteur, the Government Commissioner, and the representative of the company Toffolutti heard during the session of July 2, 2008;</w:t>
        <w:br/>
        <w:t>Adopts the following decision:</w:t>
      </w:r>
    </w:p>
    <w:p>
      <w:r>
        <w:t>I. The Procedure</w:t>
      </w:r>
    </w:p>
    <w:p>
      <w:r>
        <w:t>1. The referral of the company Toffolutti concerns predatory pricing practices implemented by its main competitors, belonging to large public works groups, during calls for tenders related to the supply and installation of bituminous coatings in the department of Calvados during the year 1998. This referral was accompanied by a request for interim measures.</w:t>
      </w:r>
    </w:p>
    <w:p>
      <w:r>
        <w:t>2. On December 18, 1998, less than three months after receiving this referral, the Council granted interim measures (decision No. 98-MC-16) relying notably on a report prepared by the departmental directorate of competition, consumption, and fraud prevention of Haute Normandie, which analyzed the pricing behaviors of the companies involved during calls for tenders launched by the general council of Calvados. This report noted that the proposed prices did not cover the costs incurred by the companies for the supply and implementation of coatings.</w:t>
      </w:r>
    </w:p>
    <w:p>
      <w:r>
        <w:t>3. This decision of the Council was annulled on February 25, 1999, by the Paris Court of Appeal, the court considering that the report with its annexes communicated by the DRCCRF of Haute Normandie at the request of the Council's investigative services had been obtained irregularly. As a consequence of this decision, the Council's services returned the documents in question to the DGCCRF, which were therefore removed from the file.</w:t>
      </w:r>
    </w:p>
    <w:p>
      <w:r>
        <w:t>4. On May 16, 2000, the Court of Cassation overturned this ruling of the Court of Appeal, considering that the documents received had been obtained regularly. It referred the case back to the Paris Court of Appeal. In a second ruling dated January 14, 2003, the Paris Court of Appeal again annulled decision 98-MC-16 of the Council, due to the presence in the deliberation of the general rapporteur and the rapporteur, and referred the request for interim measures back to the Council. Five years after the referral, this request had become moot and could therefore not be re-examined.</w:t>
      </w:r>
    </w:p>
    <w:p>
      <w:r>
        <w:t>5. Concurrently, on the merits, a request for investigation dated July 19, 1999, was addressed by the Council to the Directorate General for Competition, Consumer Affairs, and Fraud Control.</w:t>
      </w:r>
    </w:p>
    <w:p>
      <w:r>
        <w:t>6. Furthermore, a request for the communication of documents was sent on July 13, 2001, to the president of the High Court of Rouen and to Mr. X..., investigating judge at the same court, who was handling a case related to practices implemented in Seine Maritime by the same companies, in order to obtain communication of the elements collected by this judge “(...) having a direct link with the facts under the Council's consideration.” This request targeted three pending files before the Council, including file F.1081 opened following the referral from the company Toffolutti. The magistrate responded to this request with a transmission dated July 7, 2002.</w:t>
      </w:r>
    </w:p>
    <w:p>
      <w:r>
        <w:t>7. Attached to this transmission were documents from the criminal procedure including copies of sealed seized documents and copies of interviews with executives of the companies targeted by the criminal procedure, conducted either by the investigative services or by the investigating judge. However, these documents could not be included in the F.1081 file, as the Council's investigative services found that they did not provide any new elements directly related to the facts under the Council's consideration, which had been the subject of the investigation request addressed to the Directorate General for Competition, Consumer Affairs, and Fraud Control in July 1999.</w:t>
      </w:r>
    </w:p>
    <w:p>
      <w:r>
        <w:t>8. The general rapporteur, by a letter dated April 12, 2005, requested the Directorate General for Competition, Consumer Affairs, and Fraud Control to send him the results of the requested investigation. In response to this request, the DGCCRF indicated, by letter of May 6, 2005, that the investigation had been “suspended” in January 2003 to avoid interfering with the investigations ordered by the criminal judge regarding the collusion on bituminous coatings in several departments of Normandy. At no time, prior to the request from the general rapporteur, were the Council's investigative services informed of this decision to “suspend” the investigation.</w:t>
      </w:r>
    </w:p>
    <w:p>
      <w:r>
        <w:t>9. The Competition Council, in decision No. 05-D-71 of December 19, 2005, pronounced a dismissal of the case after noting the statute of limitations. However, in a ruling of December 12, 2006, the Paris Court of Appeal, adopting the reasoning already followed by the Council in its decision No. 06-D-08 of March 24, 2006 concerning the Hérault colleges, subsequent to the contested decision, ruled that in this case the new five-year statute of limitations was applicable and consequently found that this statute of limitations had not been acquired. It therefore referred the case back to the Competition Council for the continuation of the procedure.</w:t>
      </w:r>
    </w:p>
    <w:p>
      <w:r>
        <w:t>II. Discussion</w:t>
      </w:r>
    </w:p>
    <w:p>
      <w:r>
        <w:t>10. Pursuant to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w:t>
      </w:r>
    </w:p>
    <w:p>
      <w:r>
        <w:t>1. ON THE ABSENCE OF INVESTIGATION.</w:t>
      </w:r>
    </w:p>
    <w:p>
      <w:r>
        <w:t>11. Firstly, the Council notes that a request for investigation was regularly addressed on July 19, 1999, to the Director General of Competition, Consumer Affairs, and Fraud Control and that to date no investigative action has been taken by the DGCCRF services. As stated above, the transmission from the investigating judge in July 2002 could not compensate for this absence as it did not pertain to any data related to the file opened following the referral from the company Toffolutti, the criminal information not having focused on the practices implemented in the department of Calvados.</w:t>
      </w:r>
    </w:p>
    <w:p>
      <w:r>
        <w:rPr>
          <w:b/>
        </w:rPr>
        <w:t>[Pages 4–5]</w:t>
      </w:r>
    </w:p>
    <w:p>
      <w:r>
        <w:t xml:space="preserve">2. ON THE CONTINUATION OF THE INVESTIGATION  </w:t>
        <w:br/>
        <w:t xml:space="preserve">12. The company Toffolutti, in its observations, requests that the investigation be continued, even though the reported facts date back ten years. It relies on a note, accompanied by its annexes, prepared by the departmental directorate of competition, consumer affairs, and fraud prevention of Rouen, dated November 9, 1998, which it has attached to its observations. This is the note returned by the Council to the DGCCRF at the request of the Paris Court of Appeal ruling in 1999. This note analyzes the prices proposed by the companies in response to calls for tenders for the laying of asphalt in Calvados by the companies implicated by the referral, comparing them to the costs incurred by these companies for the purchase and implementation of the asphalt and notes that, in a number of cases, the level of offers from these companies is significantly lower than the costs thus observed.  </w:t>
        <w:br/>
        <w:t xml:space="preserve">13. These old documents are insufficient in themselves to characterize a meeting of minds between the companies denounced by the referrer to exclude them from the market for bituminous asphalt through predatory pricing. The investigator himself "suspected" a predatory intent but indicated that "it can only be established if it is observed over a longer period using appropriate investigative means." It is precisely these appropriate investigative means that were requested by the Council's investigative services in July 1999 and which were not implemented.  </w:t>
        <w:br/>
        <w:t xml:space="preserve">14. Indeed, coercive measures of the nature authorized by Articles L. 450-3 and L. 450-4 of the Commercial Code would have been best suited to provide evidence of an anti-competitive meeting of minds implemented by the companies involved.  </w:t>
        <w:br/>
        <w:t xml:space="preserve">15. Although the Government Commissioner is now ready for this, the Council is of the opinion that resorting to such measures, ten years after the facts, when the companies were aware of the DDCCRF note from November 1998, when they were warned by the interim measures pronounced in December 1998 by the Council, and when they were subject to searches conducted at their headquarters as part of the criminal investigation concerning public works contracts in Seine-Maritime, is both futile and disproportionate, given the significant risk of loss of the necessary evidence to establish the alleged agreement.  </w:t>
        <w:br/>
        <w:t xml:space="preserve">16. The Council also observes that the evidence of collusion in public contracts in Seine-Maritime, collected during these visits and seizures, allowed the Council to condemn the companies involved in its decision no. 05-D-69 of December 15, 2005, to fines totaling more than €33 million, a decision fully upheld by a ruling of January 30, 2007, from the Paris Court of Appeal, but that no element capable of establishing an agreement between the same companies on public contracts in Calvados had been found at the time, even though the regional directorates of the visited companies had the authority to respond to calls for tenders in both departments.  </w:t>
        <w:br/>
        <w:t>17. Consequently, it is necessary to apply the provisions of Article L. 464-6 of the Commercial Code.</w:t>
      </w:r>
    </w:p>
    <w:p>
      <w:r>
        <w:t xml:space="preserve">DECISION  </w:t>
        <w:br/>
        <w:t xml:space="preserve">Sole Article: There is no need to continue the procedure.  </w:t>
        <w:br/>
        <w:t xml:space="preserve">Deliberated on the oral report of Mr. Komiha, by Mr. Lasserre, president, session president, Ms. Aubert, Mr. Perrot, and Mr. Nasse, vice-presidents.  </w:t>
        <w:br/>
        <w:t xml:space="preserve">The session secretary, The president,  </w:t>
        <w:br/>
        <w:t xml:space="preserve">Véronique Letrado Bruno Lasserre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