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https://www.autoritedelaconcurrence.fr/fr/decision/relative-une-saisine-de-la-societe-turbo-europe</w:t>
      </w:r>
    </w:p>
    <w:p>
      <w:r>
        <w:t>Pages translated : 9</w:t>
      </w:r>
    </w:p>
    <w:p/>
    <w:p>
      <w:r>
        <w:rPr>
          <w:b/>
        </w:rPr>
        <w:t>[Pages 1–3]</w:t>
      </w:r>
    </w:p>
    <w:p>
      <w:r>
        <w:t xml:space="preserve">FRENCH REPUBLIC  </w:t>
        <w:br/>
        <w:t xml:space="preserve">Decision No. 06-D-11 of May 16, 2006  </w:t>
        <w:br/>
        <w:t>concerning a referral from the company Turbo Europe</w:t>
      </w:r>
    </w:p>
    <w:p>
      <w:r>
        <w:t xml:space="preserve">The Competition Council (permanent commission),  </w:t>
        <w:br/>
        <w:t xml:space="preserve">Having regard to the letter registered on August 12, 2005, under number 05/0065 F, by which the company Turbo Europe referred to the Competition Council practices implemented by the companies Renault SAS, Automobiles Peugeot SA, and Automobiles Citroën SA;  </w:t>
        <w:br/>
        <w:t xml:space="preserve">Having regard to Articles 81 and 82 of the Treaty establishing the European Community;  </w:t>
        <w:br/>
        <w:t xml:space="preserve">Having regard to Book IV of the Commercial Code relating to price and competition freedom and Decree 2002-689 of April 30, 2002, as amended, setting the conditions for its application;  </w:t>
        <w:br/>
        <w:t xml:space="preserve">Having regard to the observations presented by the company Turbo Europe and by the Government Commissioner;  </w:t>
        <w:br/>
        <w:t xml:space="preserve">Having regard to the other documents in the file;  </w:t>
        <w:br/>
        <w:t xml:space="preserve">The rapporteur, the deputy general rapporteur, the Government Commissioner, and the company Turbo Europe heard during the session of April 11, 2006;  </w:t>
        <w:br/>
        <w:t>Adopts the following decision:</w:t>
      </w:r>
    </w:p>
    <w:p>
      <w:r>
        <w:t xml:space="preserve">Findings  </w:t>
        <w:br/>
        <w:t xml:space="preserve">A. THE AUTOMOBILE DISTRIBUTION SECTOR IN FRANCE  </w:t>
        <w:br/>
        <w:t xml:space="preserve">1. The present case concerns the distribution of new passenger vehicles in France.  </w:t>
        <w:br/>
        <w:t xml:space="preserve">2. A little over two million of these vehicles were registered in France in 2005, of which 56% are French brands. The marketing is mainly carried out through two channels linked to the manufacturers. On the one hand, the primary network, composed of dealers who have entered into distribution contracts with the manufacturers, as well as the branches or subsidiaries of the latter. On the other hand, the secondary network, consisting of brand agents, representatives of the dealers. Thus, Renault's primary network comprised, in 2003, 670 dealerships and 65 branches, while its secondary network included 4,846 agents, of which only 106 were authorized to sell vehicles. The primary networks of Peugeot and Citroën comprised 437 and 400 sales units, respectively.  </w:t>
        <w:br/>
        <w:t xml:space="preserve">3. Sales outside the networks also occur in automobile distribution, either through intermediaries purchasing vehicles directly on behalf of end users or through resellers. Most of these independent distributors import new vehicles from European countries where manufacturers practice lower tax-excluded prices than in France, notably to offset heavier local taxation. The vehicles are then purchased from local dealers and other resellers.  </w:t>
        <w:br/>
        <w:t xml:space="preserve">4. In 2003, sales in France of new passenger vehicles, all brands combined, were made as follows:  </w:t>
        <w:br/>
        <w:t xml:space="preserve">• 24.2% by the subsidiaries and branches of the manufacturers;  </w:t>
        <w:br/>
        <w:t xml:space="preserve">• 40.5% by dealers and agents;  </w:t>
        <w:br/>
        <w:t xml:space="preserve">• 31.5% through direct sales by manufacturers to their employees, to companies with a significant fleet of vehicles, and to national short-term rental companies;  </w:t>
        <w:br/>
        <w:t>• 3.8% through sales made by intermediaries and independent resellers outside the manufacturers' networks.</w:t>
      </w:r>
    </w:p>
    <w:p>
      <w:r>
        <w:t xml:space="preserve">B. THE COMPANY TURBO EUROPE  </w:t>
        <w:br/>
        <w:t>5. Established on September 3, 2003, the SARL Turbo Europe is engaged in the trade of automobiles, outside the manufacturers' networks, and operates under the brand "Auto-Eclerc." Under this brand, Turbo Europe imports new passenger vehicles of various brands from several European countries. It then resells these vehicles at discounted prices, 15% to 35% cheaper than the catalog price, either to end users at its purchasing center located in Trappes in Yvelines (78), or to distributors of the "Auto-Eclerc" network, which has 19 sales platforms. In 2005, this network sold 4,500 new vehicles.</w:t>
      </w:r>
    </w:p>
    <w:p>
      <w:r>
        <w:t xml:space="preserve">6. Under a contract called "contract for the concession of brands and services," Auto-Eclerc distributors must, among other things, adhere to "the concept of large distribution and discount," have a structure allowing the display of at least 20 new "ready to go" vehicles, and have the financial capacity to maintain a stock of vehicles, pay for branding and flag expenses, entry fees, as well as monthly franchise fees.  </w:t>
        <w:br/>
        <w:t xml:space="preserve">7. Network distributors have an extranet site where they can find out about the vehicles available at the purchasing center and order online the vehicles that interest them.  </w:t>
        <w:br/>
        <w:t>8. Turbo Europe also operates the website "autoeclerc.com," which allows the general public to learn about national promotions and consult the list of distributors under the Auto-Eclerc brand. No sales can be made remotely.</w:t>
      </w:r>
    </w:p>
    <w:p>
      <w:r>
        <w:t xml:space="preserve">C. THE CONDEMNED PRACTICES  </w:t>
        <w:br/>
        <w:t xml:space="preserve">9. Turbo Europe has referred to the Competition Council practices that it denounces, implemented by manufacturers Renault, Peugeot, and Citroën, which would aim to exclude it from the new automobile sales sector.  </w:t>
        <w:br/>
        <w:t xml:space="preserve">10. In support of its referral, Turbo Europe attaches the letter dated July 6, 2004, which it sent to the companies Renault, Peugeot, and Citroën to receive their "best proposals for the delivery of certain of their vehicles," as well as the letters from the three manufacturers, refusing to honor any order for new vehicles.  </w:t>
        <w:br/>
        <w:t xml:space="preserve">11. In a letter dated September 3, 2004, Renault responds to Turbo Europe's request as follows:  </w:t>
        <w:br/>
        <w:t xml:space="preserve">"We are following up on your letter of July 6, in which you expressed your wish to receive our proposals for the delivery of 3,350 Renault vehicles.  </w:t>
        <w:br/>
        <w:t xml:space="preserve">It is not possible for us to respond favorably to your request.  </w:t>
        <w:br/>
        <w:t xml:space="preserve">Indeed, we inform you that Renault distributes new vehicles of its brand through a selective qualitative and quantitative distribution network, in application of the new European block exemption regulation No. 1400/2002.  </w:t>
        <w:br/>
        <w:t xml:space="preserve">Consequently, the concession contracts contain a clause prohibiting resale outside the network, which is the very essence of selective distribution.  </w:t>
        <w:br/>
        <w:t xml:space="preserve">Under these conditions, only dealers authorized by Renault can procure new vehicles of the brand for resale purposes.  </w:t>
        <w:br/>
        <w:t xml:space="preserve">Since your company does not belong to the Renault dealer network, we cannot comply with your request."  </w:t>
        <w:br/>
        <w:t>12. The letters from Citroën and Peugeot, which belong to the PSA group, dated July 12 and 15, 2004, respectively, also remind Turbo Europe, in the same terms, that the distribution of vehicles of these brands is organized within the framework of a selective distribution network:</w:t>
      </w:r>
    </w:p>
    <w:p>
      <w:r>
        <w:rPr>
          <w:b/>
        </w:rPr>
        <w:t>[Pages 4–6]</w:t>
      </w:r>
    </w:p>
    <w:p>
      <w:r>
        <w:t>12. The letters from Citroën and Peugeot, which belong to the PSA group, dated July 12 and 15, 2004, also remind Turbo Europe, in the same terms, that the distribution of vehicles of these brands is organized within the framework of a selective distribution network:</w:t>
      </w:r>
    </w:p>
    <w:p>
      <w:r>
        <w:t>"We have duly received your letter dated July 6th, which has received our full attention. However, we remind you that we market our vehicles through a network of authorized dealers within the framework of a qualitative and quantitative selective distribution system, in accordance with the European block exemption regulation 1400/2002; as such, we reserve vehicles intended for resale to the final customer for our dealers (…). Consequently, we regret to inform you that we are unable to comply with your request."</w:t>
      </w:r>
    </w:p>
    <w:p>
      <w:r>
        <w:t>13. In light of these elements, Turbo Europe accuses Renault, Peugeot, and Citroën of a refusal to sell resulting from an agreement between these companies aimed at excluding large retailers from the automobile sales sector and, more specifically, at boycotting Turbo Europe.</w:t>
      </w:r>
    </w:p>
    <w:p>
      <w:r>
        <w:t>14. According to the latter, the French market for the sale of new automobiles has the particularity of low effective competition among operators since most manufacturers hold legal and/or financial stakes in the companies of other automotive groups. It concludes that there is a powerful agreement in the market.</w:t>
      </w:r>
    </w:p>
    <w:p>
      <w:r>
        <w:t>15. Furthermore, Turbo Europe argues that, "in light of [its] desire to be part of the network of authorized dealers by the manufacturers," the latter have opposed a discriminatory refusal without specifying the nature of the selection criteria that it did not meet.</w:t>
      </w:r>
    </w:p>
    <w:p>
      <w:r>
        <w:t>16. Finally, by restricting access of certain distributors to the market for the distribution of new automobiles, the manufacturers would, according to Turbo Europe, violate Regulation (EC) No. 1400/2002 of the European Commission of July 31, 2002, concerning the application of Article 81(3) of the Treaty to categories of vertical agreements and concerted practices in the automotive sector (OJ L 203, p.30). Consequently, it requests the Council to withdraw from these companies the benefit of the exemption provided for by this regulation, in application of its Articles 6(1) and 6(2).</w:t>
      </w:r>
    </w:p>
    <w:p>
      <w:r>
        <w:t>II. Discussion</w:t>
      </w:r>
    </w:p>
    <w:p>
      <w:r>
        <w:t>17. Article L. 462-8, paragraph 2 of the Commercial Code states: "The Competition Council may (...) reject the referral by reasoned decision when it considers that the facts invoked are not supported by sufficiently probative elements."</w:t>
      </w:r>
    </w:p>
    <w:p>
      <w:r>
        <w:t>A. ON THE ALLEGED AGREEMENTS</w:t>
      </w:r>
    </w:p>
    <w:p>
      <w:r>
        <w:t>1. CONCERNING THE BOYCOTT OF TURBO EUROPE</w:t>
      </w:r>
    </w:p>
    <w:p>
      <w:r>
        <w:t>18. The referring company believes that the "strictly identical and parallel behavior" of Peugeot, Citroën, and Renault, which all refuse to deliver the new vehicles it requests, reveals an agreement aimed at boycotting it, on the grounds that it practices a discount pricing policy. In support of this argument, it invokes, first, the letters sent to it by the manufacturers two months apart and written in similar terms; secondly, the response provided by the PSA group in 2001 to a questionnaire from the European Parliament regarding automobile distribution, and finally, the links existing between the manufacturers such as the various cooperation agreements concluded between the PSA group and Renault.</w:t>
      </w:r>
    </w:p>
    <w:p>
      <w:r>
        <w:t>19. However, in their letters, in order to justify their refusal to sell their vehicles to Turbo Europe, the manufacturers invoke Regulation No. 1400/2002 which allows them, under certain conditions, to market new vehicles of their brand through a qualitative and quantitative selective distribution network. Therefore, this legal argument is validly reiterated, in similar terms, by the manufacturers in their respective letters, without it being inferred from this parallelism of behaviors an anticompetitive agreement. Indeed, as the consistent decision-making practice of the Competition Council recalls, mere parallelism of behavior is not sufficient to demonstrate a concerted practice. This is all the more true since, in this case, the accused manufacturers have only expressed the consequences of the distribution organization choices they have previously made within the framework of Regulation No. 1400/2002.</w:t>
      </w:r>
    </w:p>
    <w:p>
      <w:r>
        <w:t>20. Similarly, the possibility of an anticompetitive agreement between Peugeot, Citroën, and Renault aimed at boycotting Turbo Europe cannot be inferred either from the PSA group's response to a questionnaire from the European Parliament, which merely explains why, according to it, large distribution would not be an appropriate mode of distribution for automotive products, nor from any potential links existing between the manufacturers, such as their past cooperation agreements.</w:t>
      </w:r>
    </w:p>
    <w:p>
      <w:r>
        <w:t>21. The referral therefore does not present sufficiently probative elements to support the possibility of the existence of the horizontal anticompetitive agreement it denounces.</w:t>
      </w:r>
    </w:p>
    <w:p>
      <w:r>
        <w:t>2. CONCERNING THE VERTICAL AGREEMENTS OF SELECTIVE DISTRIBUTION</w:t>
      </w:r>
    </w:p>
    <w:p>
      <w:r>
        <w:t>On the regulatory framework</w:t>
      </w:r>
    </w:p>
    <w:p>
      <w:r>
        <w:t>22. Regarding vertical agreements concerning the marketing of new automobiles, the Court of Justice of the European Communities has recalled that "under [Article 81(1) EC], agreements between undertakings that are likely to affect trade between Member States and that have as their object or effect the prevention, restriction, or distortion of competition within the common market are, in principle, incompatible with the common market and prohibited. According to paragraph 2 of this article, such agreements are null and void, unless the provisions of paragraph 1 have been declared inapplicable by the Commission in accordance with paragraph 3 of the same article. This decision of inapplicability may be taken by the Commission (...) by means of a block exemption regulation for certain categories of agreements (...). By such a block exemption regulation, the Commission establishes conditions under which the prohibition of [Article 81(1) EC] is inapplicable to an agreement that, nevertheless, in itself meets the conditions of this prohibition" (see notably the judgment of February 15, 1996, Nissan France et al. v. Jean-Luc Dupasquier of the Spart Auto garage et al., C-309/94, Rec.p.I-677, paragraphs 10 and 11). In this matter, Regulation No. 1400/2002 provides for an exemption from the prohibition set out in Article 81(1) EC under strictly defined conditions.</w:t>
      </w:r>
    </w:p>
    <w:p>
      <w:r>
        <w:t>On the refusal of approval</w:t>
      </w:r>
    </w:p>
    <w:p>
      <w:r>
        <w:t>23. In its referral letter to the Council, Turbo Europe accuses Peugeot, Citroën, and Renault of refusing to deliver new passenger vehicles to it. It also argues that, "in light of [its] desire to be part of the network of authorized dealers by the manufacturers, the latter could only oppose a refusal to Turbo Europe based on the latter's failure to meet the objective selection criteria." However, according to it, the manufacturers would have based their refusal of approval on "on the one hand, their position regarding large distribution and, on the other hand, the interest of the consumer," whereas large distribution would in no way be detrimental to the consumer.</w:t>
      </w:r>
    </w:p>
    <w:p>
      <w:r>
        <w:t>24. However, the letter sent by Turbo Europe to the manufacturers, asking them to send their "best proposals for the delivery of [certain of their] vehicles," cannot be interpreted as a request for approval. On this point, during their hearing on March 8, 2006, the representatives of Turbo Europe confirmed that this letter was in no way intended to request dealer status. In the absence of such a request, a discriminatory refusal cannot therefore be alleged.</w:t>
      </w:r>
    </w:p>
    <w:p>
      <w:r>
        <w:t>25. It follows from the above that the elements of the file insufficiently support the likelihood of an anticompetitive practice regarding the conditions of access to the distribution networks of Peugeot, Citroën, and Renault.</w:t>
      </w:r>
    </w:p>
    <w:p>
      <w:r>
        <w:t>On the request to withdraw the benefit of the exemption from Regulation No. 1400/2002</w:t>
      </w:r>
    </w:p>
    <w:p>
      <w:r>
        <w:t>26. The referring company argues that "under the guise of complying with European legislation, the companies Peugeot, Citroën, and Renault have established vertical agreements that restrict competition in the market for the sale of new automobiles" and "lead to restricting access to the market for certain distributors, including Turbo Europe." It therefore requests the Council to withdraw the benefit of the exemption from the three companies, in application of Article 6, paragraphs 1 and 2, of Regulation No. 1400/2002.</w:t>
      </w:r>
    </w:p>
    <w:p>
      <w:r>
        <w:t>27. Under these provisions, the Commission as well as the competition authorities of the Member States are indeed empowered to withdraw the benefit of the exemption in cases where agreements have effects incompatible with Article 81(3) EC. Thus, Article 6(1)(a) of the regulation provides for the case where "access to the market in question, or competition therein, is significantly restricted by the cumulative effect of similar parallel networks of vertical restrictions practiced by competing suppliers or buyers."</w:t>
      </w:r>
    </w:p>
    <w:p>
      <w:r>
        <w:t>28. However, it is sufficient, in this regard, to note that the existence of the selective distribution networks whose effects Turbo Europe denounces does not prevent it from importing new vehicles, of which approximately 80% are French brands, in ever-increasing quantities. The representatives of Turbo Europe, heard on March 8, 2006, mentioned in this regard a constantly increasing turnover and anticipate, by 2012, a significant development of the Auto-Eclerc network which would increase from 19 to 80 sales platforms.</w:t>
      </w:r>
    </w:p>
    <w:p>
      <w:r>
        <w:rPr>
          <w:b/>
        </w:rPr>
        <w:t>[Pages 7–9]</w:t>
      </w:r>
    </w:p>
    <w:p>
      <w:r>
        <w:t>29. Thus, the elements submitted to the file are insufficient to consider that the accumulation of similar contractual obligations by the main manufacturers is the cause of a significant hindrance to market access or competition. The Competition Council adopted a similar reasoning in its decision No. 03-D-42T of August 18, 2003, relating in particular to potential cumulative effects of distribution contracts of four motorcycle manufacturers, which together held nearly 70% of the market.</w:t>
      </w:r>
    </w:p>
    <w:p>
      <w:r>
        <w:t>30. The applicant company therefore does not provide any elements that could justify, if necessary, a withdrawal of exemption regarding the companies Peugeot, Renault, and Citroën.</w:t>
      </w:r>
    </w:p>
    <w:p>
      <w:r>
        <w:t>On the new elements presented in the session</w:t>
      </w:r>
    </w:p>
    <w:p>
      <w:r>
        <w:t>31. During the session of April 11, 2006, Turbo Europe submitted new documents: two tables and two graphs relating to the "market shares" of Renault, Peugeot, and Citroën "according to the best-selling ranges in 2005." By adding the shares of the Peugeot and Citroën brands, Turbo Europe argues that the PSA group holds 47% in the "upper mid-range." It concludes that PSA cannot claim the benefit of the exemption of Regulation No. 1400/2002, of which Article 3 provides that for quantitative selective distribution agreements, the exemption only applies on the condition that the supplier's market share does not exceed 40%.</w:t>
      </w:r>
    </w:p>
    <w:p>
      <w:r>
        <w:t>32. However, the documents submitted, originating from a consulting company, are not sufficiently conclusive. On the one hand, although the two tables bear the mention "source: CCFA 2005" (the acronym CCFA stands for the French Automobile Manufacturers Committee), the manner in which the documents in question were prepared is uncertain, and Turbo Europe has not provided any detailed explanation in this regard, particularly regarding the composition of the "ranges" included in the tables. On the other hand, these tables are established only from the figures of the "100 best-selling models in 2005."</w:t>
      </w:r>
    </w:p>
    <w:p>
      <w:r>
        <w:t>33. The documents presented in the session do not therefore provide the Council with sufficiently conclusive elements to usefully initiate an investigation aimed at determining whether, as alleged by the complainant company, the PSA group can no longer benefit for its Peugeot and Citroën distribution networks from the block exemption provided by Regulation No. 1400/2002.</w:t>
      </w:r>
    </w:p>
    <w:p>
      <w:r>
        <w:t>B. ON POSSIBLE ABUSES OF DOMINANT POSITION</w:t>
      </w:r>
    </w:p>
    <w:p>
      <w:r>
        <w:t>34. Turbo Europe argued that there is no real competition among the operators in the French market for the sale of new motor vehicles: "the companies Peugeot, Citroën, and Renault jointly hold 58.32% of the market shares (2004 figures) [but they] represent directly or indirectly, through the companies with which they are linked, practically 90% of the market shares." In this regard, Turbo Europe refers to the legal links existing on the one hand, between the PSA group and the companies Ford or Toyota, and on the other hand, between Renault and Nissan, to the joint venture Signant created by Ford Motor Company, PSA, and Renault-Nissan in the telematics sector, as well as to cooperation agreements concluded between PSA and Renault in 1971, 1992, and 1996.</w:t>
      </w:r>
    </w:p>
    <w:p>
      <w:r>
        <w:t>35. Such elements could be taken into account to determine whether there is a collective dominant position among the companies targeted by Turbo Europe, a necessary prerequisite for examining possible abuses of this position.</w:t>
      </w:r>
    </w:p>
    <w:p>
      <w:r>
        <w:t>36. However, for a collective dominant position to exist, it is necessary that the companies concerned have "together, notably due to the correlation factors existing between them, the power to adopt a common course of action in the market and to act to a significant extent independently of other competitors, their customers, and ultimately, consumers" (see for example the judgment of the Court of Justice of the European Communities of March 31, 1998, France et al./Commission, known as "Kali &amp; Salz," joined cases C-68/94 and C-30/95, Rec. p. I-1375, paragraph 221, and lastly, the decision of the Competition Council No. 06-D-02 of February 20, 2006, relating to practices identified in the roadworks sector related to the production of bituminous mixtures in the Ardennes department, paragraph 107).</w:t>
      </w:r>
    </w:p>
    <w:p>
      <w:r>
        <w:t>37. In this case, the addition of the market shares of the mentioned manufacturers and the observation of certain structural links between them, notably through targeted cooperations, associated with the fact that these manufacturers have chosen the same mode of distribution, are insufficient to presume the existence of a collective dominant position.</w:t>
      </w:r>
    </w:p>
    <w:p>
      <w:r>
        <w:t>38. In particular, no substantial element in the referral tends to show that the manufacturers in question are not engaged in genuine competition and that they do not face significant competitive pressure, whether from other manufacturers or from consumers who may, in many cases, delay the purchase of a new car or opt for the purchase of a used vehicle if they believe that prices are too high.</w:t>
      </w:r>
    </w:p>
    <w:p>
      <w:r>
        <w:t>39. For this latter reason, the elements contained in the referral, including the figures concerning the market shares of the companies Renault, Peugeot, and Citroën, respectively 33.44%, 19.31%, and 14.12% in 2004 according to Turbo Europe, are all the more insufficient to consider the existence of an individual dominant position, which also assumes that the company concerned can obstruct effective competition in the relevant market by having the ability to adopt independent behaviors, to a significant extent, vis-à-vis its competitors, its customers, and ultimately consumers, as recalled by the Court of First Instance of the European Communities in the judgment of March 25, 1999, Gencor/Commission (T-102/96, Rec. p. II-753, paragraph 200). Similarly, the Court of Appeal of Paris (1st ch.), in the judgment of April 13, 1999, relating to the appeal filed by SA Dectra et al. against decision No. 98-D-61 of the Competition Council regarding the state of competition in the household waste treatment sector in Ile de France (BOCCRF No. 9 of May 12, 1999) recalled that the existence of a dominant position on the part of a company assumes that "the company in question occupies a predominant place in the market, which is ensured notably by the importance of the market shares it holds therein, the disproportion between these and those of competing companies, as well as possibly its status and its modes of commercial action."</w:t>
      </w:r>
    </w:p>
    <w:p>
      <w:r>
        <w:t>40. It follows from all of the above that the referral is not supported by sufficiently conclusive elements. It must be rejected pursuant to Article L. 462-8, paragraph 2, of the Commercial Code.</w:t>
      </w:r>
    </w:p>
    <w:p>
      <w:r>
        <w:t>DECISION</w:t>
      </w:r>
    </w:p>
    <w:p>
      <w:r>
        <w:t>Sole Article: The referral of Turbo Europe is rejected.</w:t>
      </w:r>
    </w:p>
    <w:p>
      <w:r>
        <w:t>Deliberated on the oral report of Ms. Fenayrou-Degas, by Mr. Lasserre, president, Ms. Aubert, and Mr. Nasse, vice-presidents.</w:t>
      </w:r>
    </w:p>
    <w:p>
      <w:r>
        <w:t>The session secretary, The president,</w:t>
      </w:r>
    </w:p>
    <w:p>
      <w:r>
        <w:t>Rita Sougoumarane Bruno Lasserre</w:t>
      </w:r>
    </w:p>
    <w:p>
      <w: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