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https://www.autoritedelaconcurrence.fr/fr/decision/relative-une-saisine-de-lassociation-de-defense-des-justiciables-lencontre-du-credit</w:t>
      </w:r>
    </w:p>
    <w:p>
      <w:r>
        <w:t>Pages translated : 2</w:t>
      </w:r>
    </w:p>
    <w:p/>
    <w:p>
      <w:r>
        <w:rPr>
          <w:b/>
        </w:rPr>
        <w:t>[Pages 1–2]</w:t>
      </w:r>
    </w:p>
    <w:p>
      <w:r>
        <w:t>Decision No. 02-D-50 of September 4, 2002</w:t>
        <w:br/>
        <w:t>concerning a referral by the Association for the Defense of Litigants</w:t>
        <w:br/>
        <w:t>against Crédit Foncier de France</w:t>
        <w:br/>
        <w:t>The Competition Council (standing committee),</w:t>
        <w:br/>
        <w:t>Having regard to the letter registered on January 2, 2002, under number 02/0001F, by which the Association for the Defense of Litigants and its Dordogne delegation referred to the Competition Council practices implemented by Crédit Foncier de France;</w:t>
        <w:br/>
        <w:t>Having regard to Book IV of the Commercial Code relating to the freedom of prices and competition and Decree No. 86-1309 of December 29, 1986, as amended, adopted for the application of Ordinance No. 86-1243 of December 1, 1986, as well as Decree No. 2002-689 of April 30, 2002, setting the conditions for the application of Book IV of the Commercial Code;</w:t>
        <w:br/>
        <w:t>Having regard to the other documents in the file;</w:t>
        <w:br/>
        <w:t>The reporting judge, the deputy reporting judge, and the Government Commissioner heard during the session of June 19, 2002, the Association for the Defense of Litigants and the Dordogne delegation having been regularly summoned;</w:t>
        <w:br/>
        <w:t>Considering that the Association for the Defense of Litigants and its Dordogne delegation referred to the Competition Council a practice implemented by Crédit Foncier de France consisting, during the granting of loans, in the setting of an erroneous overall effective interest rate not disclosed to the borrower; that they believe these facts constitute an anti-competitive agreement and an abuse of a dominant position;</w:t>
        <w:br/>
        <w:t>Considering that Article L. 462-8, paragraph 1 of the Commercial Code states that the Competition Council may declare "the referral inadmissible for lack of interest or standing of the author thereof (...)" ;</w:t>
        <w:br/>
        <w:t>Considering that, apart from the case of ex officio referral, the Competition Council can only be seized, by application of the combined provisions of Article L. 462-5 and the second paragraph of Article L. 462-1 of Book IV of the Commercial Code, by the minister responsible for the economy, businesses, local authorities, professional or trade union organizations, approved consumer organizations, chambers of agriculture, chambers of trades, and chambers of commerce and industry concerning the interests for which they are responsible;</w:t>
        <w:br/>
        <w:t>Considering that this enumeration is restrictive; that, therefore, the Council cannot consider requests from individuals or organizations not belonging to one or the other of the categories mentioned above;</w:t>
        <w:br/>
        <w:t>Considering that the Association for the Defense of Litigants, registered with the prefecture of Landes on October 5, 1998, does not have the status of an approved association and that consequently, it did not fall, at the date of filing of the referral, June 2, 2002, under any of the categories mentioned in Articles L. 462-1 and L. 462-5 of the Commercial Code; that this association therefore does not have standing to refer to the Council; that, consequently, it is appropriate to apply the provisions of Article L. 462-8, paragraph 1, cited above.</w:t>
        <w:br/>
        <w:t>DECIDES</w:t>
        <w:br/>
        <w:t>Sole Article: The referral registered under No. 02/0001F is declared inadmissible.</w:t>
        <w:br/>
        <w:t>Deliberated on the oral report of Ms. Chaulet-Philippe, by Ms. Hagelsteen, president, Ms. Pasturel, vice-president, and Mr. Piot, member, in replacement of Mr. Nasse, vice-president prevented.</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