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https://www.autoritedelaconcurrence.fr/fr/decision/relative-une-saisine-de-lassociation-force-ouvriere-consommateurs-afoc</w:t>
      </w:r>
    </w:p>
    <w:p>
      <w:r>
        <w:t>Pages translated : 2</w:t>
      </w:r>
    </w:p>
    <w:p/>
    <w:p>
      <w:r>
        <w:rPr>
          <w:b/>
        </w:rPr>
        <w:t>[Pages 1–2]</w:t>
      </w:r>
    </w:p>
    <w:p>
      <w:r>
        <w:t xml:space="preserve">COUNCIL OF COMPETITION  </w:t>
        <w:br/>
        <w:t xml:space="preserve">Decision No. 01-D-74 of November 5, 2001  </w:t>
        <w:br/>
        <w:t>concerning a referral by the association Force Ouvrière Consommateurs</w:t>
      </w:r>
    </w:p>
    <w:p>
      <w:r>
        <w:t>The Competition Council (standing committee),</w:t>
      </w:r>
    </w:p>
    <w:p>
      <w:r>
        <w:t>Having regard to the letter registered on April 4, 2000, under number F 1230, by which the association Force Ouvrière Consommateurs (AFOC) referred to the Competition Council, on the basis of Article L. 462-5 of the Commercial Code, concerning anti-competitive practices allegedly implemented regarding the methods of price setting in the construction materials sector;</w:t>
      </w:r>
    </w:p>
    <w:p>
      <w:r>
        <w:t>Having regard to Book IV of the Commercial Code and Decree No. 86-1309 of December 29, 1986, as amended, setting the conditions for the application of Ordinance No. 86-1243 of December 1, 1986;</w:t>
      </w:r>
    </w:p>
    <w:p>
      <w:r>
        <w:t>Having regard to the other documents in the file;</w:t>
      </w:r>
    </w:p>
    <w:p>
      <w:r>
        <w:t>The rapporteur, the deputy general rapporteur, the Government Commissioner, heard during the session of October 3, 2001, the association Force Ouvrière Consommateurs having been duly summoned;</w:t>
      </w:r>
    </w:p>
    <w:p>
      <w:r>
        <w:t>Considering that by letter dated April 4, 2000, the Secretary General of the association Force Ouvrière Consommateurs, on behalf of this association, referred to the Competition Council concerning anti-competitive practices allegedly implemented for price setting in the construction materials sector;</w:t>
      </w:r>
    </w:p>
    <w:p>
      <w:r>
        <w:t>Considering that the statutes of the association specify in Article 11: "Expenses are ordered by the President who represents the Association in court and in all acts of civil life"; that, by letter dated July 20, 2001, the President of the association confirmed this referral; that the Council is therefore validly seized;</w:t>
      </w:r>
    </w:p>
    <w:p>
      <w:r>
        <w:t>Considering that Article L. 462-8 of the Commercial Code, in its wording resulting from Law No. 2001-419 of May 15, 2001, states in its second paragraph that the Council "may reject the referral by reasoned decision when it considers that the facts invoked are not supported by sufficiently probative elements";</w:t>
      </w:r>
    </w:p>
    <w:p>
      <w:r>
        <w:t>Considering that the only documents attached by the AFOC in support of its referral consist of a letter dated March 21, 2000, by which the representative of the DRCCRF of Haute Garonne, whose attention had been drawn by the association to the practices in question, responded that her service was attentive to the information provided and that she had undertaken the appropriate investigations, and a press clipping dated March 29, 2000, entitled "Why prices are soaring in construction"; that these documents do not provide any useful element to support the allegation that anti-competitive practices are being implemented regarding the methods of price setting in the construction materials sector;</w:t>
      </w:r>
    </w:p>
    <w:p>
      <w:r>
        <w:t>Considering, furthermore, that following two letters dated respectively December 19, 2000, and May 17, 2001, by which the rapporteur requested the AFOC to substantiate its referral, the association sent copies of letters exchanged between a consumer denouncing, without providing any evidence, consultations that led to a price increase, various administrations, and the AFOC, as well as press releases;</w:t>
      </w:r>
    </w:p>
    <w:p>
      <w:r>
        <w:t>Considering that none of the elements produced allow for the conclusion that the increases denounced by the consumer who alerted the AFOC could be the result of practices prohibited by Articles L. 420-1 or L. 420-2 of the Commercial Code;</w:t>
      </w:r>
    </w:p>
    <w:p>
      <w:r>
        <w:t>Considering that it is therefore appropriate to apply the provisions of Article L. 462-8, paragraph 2, of the Commercial Code;</w:t>
      </w:r>
    </w:p>
    <w:p>
      <w:r>
        <w:t xml:space="preserve">DECIDES  </w:t>
        <w:br/>
        <w:t>Sole Article.- The referral is rejected for lack of sufficiently probative elements.</w:t>
      </w:r>
    </w:p>
    <w:p>
      <w:r>
        <w:t>Deliberated, on the oral report of Ms. Toulemont-Dakouré, by Ms. Hagelsteen, President, Ms. Pasturel, Vice-President, and Mr. Cortesse, Vice-President.</w:t>
      </w:r>
    </w:p>
    <w:p>
      <w:r>
        <w:t xml:space="preserve">The Secretary of the session, The President,  </w:t>
        <w:br/>
        <w:t xml:space="preserve">Thierry Poncelet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