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https://www.autoritedelaconcurrence.fr/fr/decision/relative-une-saisine-de-lassociation-sthalt-tort-tue</w:t>
      </w:r>
    </w:p>
    <w:p>
      <w:r>
        <w:t>Pages translated : 2</w:t>
      </w:r>
    </w:p>
    <w:p/>
    <w:p>
      <w:r>
        <w:rPr>
          <w:b/>
        </w:rPr>
        <w:t>[Pages 1–2]</w:t>
      </w:r>
    </w:p>
    <w:p>
      <w:r>
        <w:t>Decision No. 02-D-30 of May 14, 2002</w:t>
        <w:br/>
        <w:t>concerning the referral by the association St’Halt Tort Tue</w:t>
        <w:br/>
        <w:t>The Competition Council (standing committee),</w:t>
        <w:br/>
        <w:t>Having regard to the letter dated September 3, 2001, registered under number F 1342, by which the association St’Halt Tort Tue referred to the Competition Council practices implemented by the Bayer AG Germany group, Bayer Pharma SA, and the Bayer Pharma Laboratories company;</w:t>
        <w:br/>
        <w:t>Having regard to Book IV of the Commercial Code relating to the freedom of prices and competition and Decree No. 86-1309 of December 29, 1986, as amended, setting the conditions for the application of Ordinance No. 86-1243 of December 1, 1986;</w:t>
        <w:br/>
        <w:t>Having regard to the other documents in the file;</w:t>
        <w:br/>
        <w:t>The rapporteur, the general rapporteur, and the Government Commissioner heard during the session of April 10, 2002;</w:t>
        <w:br/>
        <w:t>The referring association is notably aimed at defending patients who have been treated with the medications of the Bayer firm Staltor and Cholstat;</w:t>
        <w:br/>
        <w:t>Considering that the Council, pursuant to Articles L. 462-1 and L. 462-5 of the Commercial Code, can be seized exclusively by the minister responsible for the economy, by companies, or, for any matter concerning the interests for which they are responsible, by local authorities, professional and trade union organizations, approved consumer organizations, agricultural chambers, trade chambers, or chambers of commerce and industry;</w:t>
        <w:br/>
        <w:t>Considering that the association St’Halt Tort Tue is not an approved consumer association; that it does not fall within any of the categories of persons or authorities authorized to refer to the Council; that consequently, it does not have standing to act on the basis of the aforementioned texts and its referral must be declared inadmissible.</w:t>
        <w:br/>
        <w:t>DECIDES</w:t>
        <w:br/>
        <w:t>Article 1 - The referral registered under number F 1342 is declared inadmissible.</w:t>
      </w:r>
    </w:p>
    <w:p>
      <w:r>
        <w:t>Deliberated, on the report of Christine Servella-Huertas, by Ms. Hagelsteen, President, Ms. Pasturel and Mr. Nasse, Vice-Presidents.</w:t>
        <w:br/>
        <w:t>The session secretary,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