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https://www.autoritedelaconcurrence.fr/fr/decision/relative-une-saisine-de-lentreprise-arnaud-marin-concernant-des-pratiques-mises-en-oeuvre</w:t>
      </w:r>
    </w:p>
    <w:p>
      <w:r>
        <w:t>Pages translated : 7</w:t>
      </w:r>
    </w:p>
    <w:p/>
    <w:p>
      <w:r>
        <w:rPr>
          <w:b/>
        </w:rPr>
        <w:t>[Pages 1–3]</w:t>
      </w:r>
    </w:p>
    <w:p>
      <w:r>
        <w:t>FRENCH REPUBLIC</w:t>
        <w:br/>
        <w:t>Decision No. 04-D-46 of September 30, 2004</w:t>
        <w:br/>
        <w:t>regarding a referral from the company Arnaud Marin</w:t>
        <w:br/>
        <w:t>concerning practices implemented by the company R. Marin</w:t>
        <w:br/>
        <w:t>The Competition Council (permanent commission),</w:t>
        <w:br/>
        <w:t>Having regard to the letter registered on April 30, 2004, under number 04/0012F, by which the company Arnaud Marin referred to the Competition Council practices implemented by the company R. Marin;</w:t>
        <w:br/>
        <w:t>Having regard to Articles 81 and 82 of the Treaty establishing the European Community;</w:t>
        <w:br/>
        <w:t>Having regard to Book IV of the Commercial Code relating to price and competition freedom and Decree No. 2002-689 of April 30, 2002, setting the conditions for its application;</w:t>
        <w:br/>
        <w:t>Having regard to the other documents in the file;</w:t>
        <w:br/>
        <w:t>Having regard to the observations presented by the representative of Mr. X... and by the Government Commissioner;</w:t>
        <w:br/>
        <w:t>The rapporteur, the general rapporteur, the Government Commissioner, and the representative of the company Marbrerie Marin, heard during the session of July 21, 2004;</w:t>
        <w:br/>
        <w:t>Adopts the following decision:</w:t>
      </w:r>
    </w:p>
    <w:p>
      <w:r>
        <w:t>I. Findings</w:t>
        <w:br/>
        <w:t>1. Mr. X..., who operates a funeral and funeral stone business in Evry, referred to the Competition Council on February 23, 2004, practices that he considers prohibited by Article L. 420-2 of the Commercial Code, implemented by the company R. Marin, which carries out the same activity and whose registered office is located in the neighboring municipality of Champcueil.</w:t>
        <w:br/>
        <w:t>2. The complainant accuses the company R. Marin of having established, from October 4, 1982, to October 20, 1998, in the premises of the Evry-Courcouronnes hospital, for which he managed the hospital morgue, a "settlement office" that would have been used to offer families of the deceased free funeral services.</w:t>
      </w:r>
    </w:p>
    <w:p>
      <w:r>
        <w:t>A. THE LEGAL FRAMEWORK OF THE FUNERAL SERVICES SECTOR</w:t>
        <w:br/>
        <w:t>3. The funeral service includes, in addition to the internal service which is conducted inside religious buildings and falls under the service of worship, the external service which takes place outside these buildings and constitutes a public service, and the so-called free services which depend solely on the initiative of the families (stonework, flowers, etc.).</w:t>
        <w:br/>
        <w:t>4. Until 1993 and pursuant to the law of December 28, 1904, the external service was exclusively under the jurisdiction of the municipalities and included various services enumerated exhaustively by Article L. 362-6 of the Code of Municipalities (transport of bodies after placing in a coffin, provision of hearses, coffins, etc.).</w:t>
        <w:br/>
        <w:t>5. The current content of this service is defined by Article L. 2223-19 of the General Code of Local Authorities as amended by Law No. 93-23 of January 8, 1993.</w:t>
        <w:br/>
        <w:t>6. Until 1993, municipalities, although exclusive holders of the legal monopoly of the external service, were not required to organize this service themselves. Article L. 362-1 of the Code of Municipalities left to those who decided to organize it the choice between management or delegation. Companies organizing funerals had to, regarding the services of the external service, address the holder of the monopoly, manager or concessionaire.</w:t>
        <w:br/>
        <w:t>7. Law No. 86-29 of January 9, 1986, opened a first breach in the municipal monopoly of the external funeral service to take into account the fact that the majority of deaths occur in hospitals and often in municipalities different from the deceased's residence. Since that date, the person qualified to arrange the funeral or their representative could address the manager or the concessionaire or, in the absence of service organization, any funeral company, either from the municipality of the place of burial or from the municipality of the place of interment or cremation or from the municipality of the deceased's residence, to ensure the transport of bodies after placing in a coffin and all services related to the public service.</w:t>
        <w:br/>
        <w:t>8. Law No. 93-23 of January 8, 1993, definitively ended the municipal monopoly, and now, the external funeral service can be provided not only by municipalities or their delegates but also by any other company or association benefiting from an authorization issued by the State representative in the department. Article 28-1 of the law of January 8, 1993, having provided for a transitional period, the exclusivity privilege of the external funeral service was to effectively disappear by January 10, 1996, at the latest, for delegated companies and by January 10, 1998, at the latest, for managers.</w:t>
        <w:br/>
        <w:t>9. Finally, under the terms of Article L. 2223-33 of the General Code of Local Authorities (former Article L. 362-10 of the Code of Municipalities), are prohibited, in particular, the approaches made in a public place or building open to the public.</w:t>
        <w:br/>
        <w:t>10. The practices referred to the Competition Council occurred during the period from 1982 to 1998 and therefore fall under the three successive legislative frameworks of 1904, 1986, and 1993.</w:t>
        <w:br/>
        <w:t>11. At the time of the alleged facts, the company R. Marin was the exclusive concessionaire of the municipality of Courcouronnes. This situation prevailed until January 1996, the date of the end of the legal monopoly regime, after which the company became the official delegate of the municipality, a mention that could be used by the company under the provisions of Article L. 2223-31 of the General Code of Local Authorities. The company R. Marin was also the manager of the mortuary chamber of the Evry-Courcouronnes hospital from 1982 to 1998. The contract concluded with the company R. Marin was terminated by the hospital on July 29, 1998, in accordance with the provisions of Decree No. 97-1039 of November 14, 1997, relating to the management of mortuary chambers in public health establishments.</w:t>
      </w:r>
    </w:p>
    <w:p>
      <w:r>
        <w:t>B. THE PRACTICES IN QUESTION</w:t>
        <w:br/>
        <w:t>12. Mr. X... accuses the company R. Marin of having created confusion between the management of the hospital morgue and the free funeral services and thus violated funeral legislation by developing a commercial activity within the premises of a public establishment, as well as competition law by abusing its dominant position in the local funeral services market.</w:t>
        <w:br/>
        <w:t>13. Although the alleged facts are old, the complainant argues that the acts listed below would have effectively interrupted the three-year statute of limitations provided for in Article L. 462-7 of the Commercial Code:</w:t>
        <w:br/>
        <w:t>• A bailiff's report of November 19, 1998, established at the request of Mr. X..., to note the mentions appearing on the windows of the premises of the company R. Marin located opposite the Courcouronnes hospital, the existence of a funeral chamber managed by the company R. Marin at the entrance of the new Courcouronnes cemetery, and to reproduce the presentation of the company R. Marin in the electronic directory;</w:t>
        <w:br/>
        <w:t>• The bailiff's reports of February 23, 24, and April 13, 1999, established at the request of Mr. X..., pursuant to an order from the president of the Evry High Court dated January 11, 1999. In the context of these interventions, the bailiff questioned the hospital officials about the management of the funeral chamber by the company R. Marin and obtained copies of the contractual documents binding the hospital to the company R. Marin until October 20, 1998. He then proceeded to various observations regarding the company's activities concerning the management of the funeral chamber and the funeral and stonework services and met with the officials of the Courcouronnes town hall where he obtained copies of the contractual documents binding the town hall to the company R. Marin;</w:t>
        <w:br/>
        <w:t>• Two letters dated December 9, 1999, and February 3, 2000, by which Mr. X... contacted the DGCCRF. The first, to ask whether it would be willing to conduct an investigation at the request of the commercial court, and the second, regarding whether the confusion between the management of a funeral chamber and the organization of funerals was contrary to competition law. The DGCCRF responded positively to both requests;</w:t>
        <w:br/>
        <w:t>• The introductory act of proceedings before the Evry Commercial Court dated January 7, 2000, for unfair competition and abuse of dominant position seeking the allocation of damages and, alternatively, the conduct of an investigation by the DGCCRF (rejected by decision of the Evry Commercial Court dated September 19, 2002);</w:t>
        <w:br/>
        <w:t>• The notice of appeal of October 11, 2002, following this judgment. The Paris Court of Appeal confirmed, on March 17, 2004, the rejection of Mr. X...'s indemnity claim. It dismissed Mr. X...'s claims on the grounds that the materiality of the practices of abuse of dominant position attributed to the company R. Marin was not</w:t>
      </w:r>
    </w:p>
    <w:p>
      <w:r>
        <w:rPr>
          <w:b/>
        </w:rPr>
        <w:t>[Pages 4–6]</w:t>
      </w:r>
    </w:p>
    <w:p>
      <w:r>
        <w:t>established and that the absence of useful elements for the delimitation of the relevant market did not allow for the assessment of the existence of a dominant position and thus of an abuse in this matter.</w:t>
      </w:r>
    </w:p>
    <w:p>
      <w:r>
        <w:t>14. Mr. X... particularly argues that the Paris Court of Appeal, even if it rejected his request, ruled on the issue of abuse of dominant position. According to him, it thus implicitly dismissed the existence of the statute of limitations, since, as a matter of public order, it was obliged to raise it ex officio. By equating the statute of limitations attached to judicial procedures with that provided for in Article L. 462-7 of the Commercial Code for referral to the Competition Council, Mr. X... concludes that his action before the Council would not be time-barred.</w:t>
      </w:r>
    </w:p>
    <w:p>
      <w:r>
        <w:t>II. DISCUSSION</w:t>
      </w:r>
    </w:p>
    <w:p>
      <w:r>
        <w:t>15. Under the terms of Article L. 462-8 paragraph 1 of the Commercial Code: "The Competition Council may declare, by reasoned decision, the referral inadmissible for lack of interest or standing of the author of the referral, or if the facts are time-barred within the meaning of Article L. 462-7, or if it considers that the alleged facts do not fall within its jurisdiction."</w:t>
      </w:r>
    </w:p>
    <w:p>
      <w:r>
        <w:t>A. ON THE LEGALITY OF THE PRACTICES OF THE COMPANY R. MARIN IN LIGHT OF THE PROVISIONS OF THE GENERAL CODE OF LOCAL AUTHORITIES</w:t>
      </w:r>
    </w:p>
    <w:p>
      <w:r>
        <w:t>16. It is not for the Competition Council, within the framework of its attribution competence, to assess the regularity of a behavior in light of texts other than Book IV of the Commercial Code and Articles 81 and 82 of the EC Treaty. Therefore, the arguments of the referring party regarding the qualification of the practices of the company R. Marin in light of the provisions of Article L. 2223-33 of the General Code of Local Authorities do not fall within the jurisdiction of the Competition Council.</w:t>
      </w:r>
    </w:p>
    <w:p>
      <w:r>
        <w:t>B. ON THE STATUTE OF LIMITATIONS OF THE ALLEGED FACTS AND THE ADMISSIBILITY OF THE REFERRAL</w:t>
      </w:r>
    </w:p>
    <w:p>
      <w:r>
        <w:t>17. Pursuant to the provisions of Article L. 462-7 of the Commercial Code: "The Council cannot be seized of facts dating back more than three years if no act has been made to seek, establish, or sanction them."</w:t>
      </w:r>
    </w:p>
    <w:p>
      <w:r>
        <w:t>18. The jurisdiction of the Competition Council, to assess the facts of unlawful agreements and abuse of dominance and to impose sanctions, has been expressly recognized by Ordinance No. 86-1243 of December 1, 1986, which partially decriminalized anti-competitive practices. In litigation, the Council can now be directly seized by companies, whereas, before the entry into force of the ordinance, they could not refer to the Competition Commission and had to direct their complaints to the criminal judge.</w:t>
      </w:r>
    </w:p>
    <w:p>
      <w:r>
        <w:t>19. After 1986, however, the courts retained certain attributions. Thus, the civil or commercial judge may be seized of actions brought by the victim of anti-competitive practices. The civil judge can directly qualify the facts for the purpose of either compensation or annulment of the unlawful agreements.</w:t>
      </w:r>
    </w:p>
    <w:p>
      <w:r>
        <w:t>20. For facts subject to civil sanctions (refusal to sell, discriminatory practices, and tied sales) governed by the common law of civil liability, the statute of limitations will often be ten years either because it is linked to the ten-year statute of limitations applicable to obligations arising from their trade between merchants (Article L. 110-4 of the Commercial Code) or under Article 2270-1 of the Civil Code for actions in extra-contractual civil liability.</w:t>
      </w:r>
    </w:p>
    <w:p>
      <w:r>
        <w:t>21. This is a procedure completely independent of that which may be followed before the Competition Council, even if the latter may, pursuant to Article L. 463-5 of the Commercial Code, request the investigating and adjudicating courts to communicate the minutes and investigation reports directly related to the facts it is seized of.</w:t>
      </w:r>
    </w:p>
    <w:p>
      <w:r>
        <w:t>22. It may also happen that once the procedure before the Competition Council is completed, the victim of the condemned practices refers the matter to the civil judge in order to obtain compensation for the damage suffered.</w:t>
      </w:r>
    </w:p>
    <w:p>
      <w:r>
        <w:t>23. The criminal courts, for their part, may be seized when the facts are of a nature to justify the application of Article L. 420-6 of the Commercial Code, which states: "Any natural person who fraudulently takes a personal and decisive part in the design, organization, or implementation of practices referred to in Articles L. 420-1 and L. 420-2 shall be punished by imprisonment for four years and a fine of 75,000 euros (500,000 F)." The statute of limitations for this offense is three years.</w:t>
      </w:r>
    </w:p>
    <w:p>
      <w:r>
        <w:t>24. Regarding the procedure before the Competition Council, it is possible, under the terms of several jurisprudential decisions, to distinguish acts interrupting the statute of limitations, particularly for the period prior to the referral to the Council. Most of them relate to the preliminary investigation phase prior to any prosecution of the facts of collusion or abuse of dominance and particularly to its initiation:</w:t>
        <w:br/>
        <w:t>• letter requesting the Competition Commission to take action ex officio (CA Paris - judgment of September 27, 1990, BOCCRF No. 22 of October 11, 1990);</w:t>
        <w:br/>
        <w:t>• letter from the head of the regional competition service to his hierarchical superior who initiated an administrative investigation with subsequent referral to the Competition Council (Competition Council, decision No. 92-D-37 of June 2, 1992);</w:t>
        <w:br/>
        <w:t>• letter addressed to a party by the DGCCRF marking the starting point of the administrative investigation (Competition Council, decision No. 92-D-37 of June 2, 1992);</w:t>
        <w:br/>
        <w:t>• receipt of a letter summoning a party to a hearing by an investigator (CA Paris - judgment of October 12, 1999, BOCCRF No. 18 of October 30, 1999);</w:t>
        <w:br/>
        <w:t>• minutes established by the investigators (Competition Council, decision No. 91-D-33 of July 9, 1991, decision No. 92-D-39 of June 16, 1992, decision No. 03-D-36 of January 29, 2003, No. 03-D-37 of July 29, 2003 - CA Paris, judgment of May 30, 1991, BOCCRF No. 11 of June 27, 1995, and November 25, 2003, Préfall).</w:t>
      </w:r>
    </w:p>
    <w:p>
      <w:r>
        <w:t>25. Two judgments of the Paris Court of Appeal have also accepted to consider as interrupting acts two complaints denouncing anti-competitive practices:</w:t>
        <w:br/>
        <w:t>• complaint denouncing the facts in question to the criminal courts (Paris Court of Appeal - judgment of September 27, 1990, BOSP No. 22 of October 11, 1990, concerning the appeal filed by SA des lubrifiants du Midi against a decision of the Competition Council No. 89-D-44 of December 19, 1989, BOCCRF No. 3 of February 2, 1990);</w:t>
        <w:br/>
        <w:t>• complaint before the investigating judge with civil party constitution (Paris Court of Appeal - judgment of January 14, 1993, BOSP No. 3 of February 13, 1993, concerning the appeal of the company Pechiney and others against a decision of the Competition Council of March 31, 1992 No. 92-D-26, BOSP No. 11 of May 30, 1992).</w:t>
      </w:r>
    </w:p>
    <w:p>
      <w:r>
        <w:t>26. However, these two judgments concern the transitional period between the procedures in force before and after the publication of the ordinance of December 1, 1986. The solutions adopted apply to practices denounced before December 1, 1986, which constituted offenses under the ordinance of June 30, 1945 and whose knowledge was attributed to the Competition Council by the ordinance of December 1, 1986. Since anti-competitive practices have been decriminalized, the investigating courts have pronounced a dismissal in these cases, but the jurisprudence has considered that the effect of acts that validly interrupted the statute of limitations under the previous regime was acquired and could not be called into question under the regime established by the ordinance of December 1, 1986 despite the procedural changes made by this text regarding the same facts.</w:t>
      </w:r>
    </w:p>
    <w:p>
      <w:r>
        <w:t>27. The jurisprudence established in this framework only allows for the continuity of public action, first initiated within the framework of a criminal procedure, then successfully conducted before the Competition Council after a change in legislation.</w:t>
      </w:r>
    </w:p>
    <w:p>
      <w:r>
        <w:t>28. Finally, the jurisprudence has emphasized that the Competition Council issues sanction decisions that fall within a repressive approach of public order, which is distinct from civil proceedings that are the concern of the parties. Thus, the Paris Court of Appeal, in a judgment of September 8, 1998 (Coca-Cola Entreprise, Orangina France and Igloo Post Mix), considered "that the decision of the Competition Council, even if it has the character of a punishment, is an administrative decision that is not judicial; that issued by an organization that fulfills a mission aimed at defending an economic public order, it does not intervene to satisfy the request of a party, but sanctions the anti-competitive practices of which the Council, as market regulator, has been able to establish the existence."</w:t>
      </w:r>
    </w:p>
    <w:p>
      <w:r>
        <w:t>29. Therefore, the bailiff's reports invoked, because they aimed to establish a civil fault, as well as the referral to the commercial court and then to the Paris Court of Appeal, which occurred within the framework of an action for damages, for the defense of a particular interest, cannot be considered as acts aimed at the search, establishment, and sanction of anti-competitive practices, carried out for the defense of an economic public order and market regulation in the sense of the aforementioned Court of Appeal judgment.</w:t>
      </w:r>
    </w:p>
    <w:p>
      <w:r>
        <w:t>30. Furthermore, the requests for information from Mr. X... addressed to the DGCCRF did not formulate a request for investigation. The referring party did not support this in his initial request, even if, in his supplementary memorandum dated July 2, 2004, he claimed, without justification, to have made an oral request for investigation to the DGCCRF.</w:t>
      </w:r>
    </w:p>
    <w:p>
      <w:r>
        <w:t>31. The denounced practices, which date back more than three years and none of the invoked acts can be regarded as aimed at their search, establishment, or sanction within the meaning of Article L. 462-7 of the Commercial Code, are therefore covered by the statute of limitations.</w:t>
      </w:r>
    </w:p>
    <w:p>
      <w:r>
        <w:t>32. Consequently, it is necessary to apply the provisions of Article L. 462-8, paragraph 1, of the Commercial Code.</w:t>
      </w:r>
    </w:p>
    <w:p>
      <w:r>
        <w:rPr>
          <w:b/>
        </w:rPr>
        <w:t>[Pages 7–7]</w:t>
      </w:r>
    </w:p>
    <w:p>
      <w:r>
        <w:t>DECISION</w:t>
      </w:r>
    </w:p>
    <w:p>
      <w:r>
        <w:t>Sole Article: The referral of the company Arnaud Marin, registered under number 04/0012 F, is inadmissible.</w:t>
      </w:r>
    </w:p>
    <w:p>
      <w:r>
        <w:t>Deliberated, on the oral report of Mr. Samson, by Mrs. Hagelsteen, president, Mrs. Pasturel and Mr. Nasse, vice-presidents.</w:t>
      </w:r>
    </w:p>
    <w:p>
      <w:r>
        <w:t>The session secretary, For the president, the vice-president</w:t>
      </w:r>
    </w:p>
    <w:p>
      <w:r>
        <w:t>Christine Charron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