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https://www.autoritedelaconcurrence.fr/fr/decision/relative-une-saisine-de-liduf</w:t>
      </w:r>
    </w:p>
    <w:p>
      <w:r>
        <w:t>Pages translated : 2</w:t>
      </w:r>
    </w:p>
    <w:p/>
    <w:p>
      <w:r>
        <w:rPr>
          <w:b/>
        </w:rPr>
        <w:t>[Pages 1–2]</w:t>
      </w:r>
    </w:p>
    <w:p>
      <w:r>
        <w:t xml:space="preserve">FRENCH REPUBLIC  </w:t>
        <w:br/>
        <w:t xml:space="preserve">Decision No. 90-D-09 of January 30, 1990  </w:t>
        <w:br/>
        <w:t xml:space="preserve">concerning a referral by the I.D.U.F.  </w:t>
        <w:br/>
        <w:t xml:space="preserve">The Competition Council,  </w:t>
        <w:br/>
        <w:t xml:space="preserve">Having regard to the letter registered on May 25, 1989, under number F. 245, by which the I.D.U.F., a local law association comprising pharmacists from Alsace, referred to the Competition Council practices originating from the primary health insurance funds of Sélestat, Colmar, and Haguenau;  </w:t>
        <w:br/>
        <w:t xml:space="preserve">Having regard to Ordinance No. 86-1243 of December 1, 1986, relating to the freedom of prices and competition, as amended, together with Decree No. 86-1309 of December 29, 1986, as amended, adopted for its application;  </w:t>
        <w:br/>
        <w:t xml:space="preserve">Having regard to the observations presented by the Government Commissioner;  </w:t>
        <w:br/>
        <w:t xml:space="preserve">Having regard to the other documents in the file;  </w:t>
        <w:br/>
        <w:t xml:space="preserve">The rapporteur, the general rapporteur, the Government Commissioner, and the referring party heard;  </w:t>
        <w:br/>
        <w:t xml:space="preserve">Considering that under Article 19 of the aforementioned ordinance "the Competition Council may declare, by reasoned decision, the referral inadmissible if it considers that the facts invoked do not fall within its jurisdiction or are not supported by sufficiently probative elements";  </w:t>
        <w:br/>
        <w:t xml:space="preserve">Considering that, while the I.D.U.F. claims that the agreements concluded between the funds and the insured are anti-competitive, the contract concluded between a fund and its insured for the provision of equipment cannot manifestly be identified as a concerted action, agreement, or understanding likely to limit market access or the free exercise of competition within the meaning of Article 7 of the aforementioned ordinance; that, moreover, it is not even alleged that several funds have coordinated their actions; that, in its referral, the I.D.U.F. alleges an attempt at collusion on tariffs among the different manufacturers of equipment; that, however, the only document produced in support of this assertion is a letter from the agricultural social mutual fund of Bas-Rhin seeking to obtain favorable prices from its suppliers for the establishment of its equipment loan service; that this document does not allow for the presumption of an agreement among the various suppliers in the medical equipment market;  </w:t>
        <w:br/>
        <w:t>Considering that, on the basis of Article 8 of the ordinance, the I.U.D.F. argues the dominant position that the primary health insurance funds would hold and the state of economic dependence in which the insured would find themselves; that the relationships between the funds and their insured cannot be assimilated either to the situation of a dominant position that a company may hold in a market or to the state of economic dependence in which a company may find itself in relation to a supplier or a customer within the meaning of Article 8;</w:t>
      </w:r>
    </w:p>
    <w:p>
      <w:r>
        <w:t xml:space="preserve">Considering that in its referral, the I.D.U.F. reports a number of practices of primary health insurance funds that it considers contrary to the statutes of these funds; that it is thus alleged that these organizations have constituted a stock of medical equipment to provide to their insured and subsequently demanded the return of loaned equipment while it would not fall within the mission of the funds to provide the devices themselves and that they could have no ownership rights over this equipment; that the I.D.U.F. further believes that the funds would disregard regulations concerning the nature of benefits, reimbursement rates, approval of equipment suppliers, the principles of free choice of supplier by the patient, and compliance with medical prescriptions by the supplier, as well as hygiene rules; that in support of its allegations, the I.D.U.F. invokes various articles of the Social Security Code and the Public Health Code; that it is not for the Competition Council to rule on such matters which fall within the purview of the supervisory authority and the control of the competent judge;  </w:t>
        <w:br/>
        <w:t xml:space="preserve">Considering that the circumstance that certain funds would divert their insured from liberal suppliers of medical equipment, and in particular pharmacists, to direct them towards services dependent on these funds, could not, assuming it were established, fall under a referral based on Title III of the ordinance, but possibly under an action before the judicial judge;  </w:t>
        <w:br/>
        <w:t xml:space="preserve">Considering that it follows from all of the above that the referral presented by the I.D.U.F. must be declared inadmissible pursuant to the provisions of Article 19 of the aforementioned ordinance,  </w:t>
        <w:br/>
        <w:t xml:space="preserve">Decides:  </w:t>
        <w:br/>
        <w:t xml:space="preserve">The referral registered under number F. 245 is declared inadmissible.  </w:t>
        <w:br/>
        <w:t xml:space="preserve">Deliberated in section on the report of Mrs. Jeangirard-Dufal, in the session of January 30, 1990, where sat:  </w:t>
        <w:br/>
        <w:t xml:space="preserve">Mr. Laurent, president;  </w:t>
        <w:br/>
        <w:t xml:space="preserve">Messrs. Béteille and Pineau, vice-presidents;  </w:t>
        <w:br/>
        <w:t xml:space="preserve">Messrs. Azéma, Flécheux, Schmidt, Urbain, members.  </w:t>
        <w:br/>
        <w:t xml:space="preserve">The substitute general rapporteur, The president,  </w:t>
        <w:br/>
        <w:t xml:space="preserve">A.-P. WEBER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