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https://www.autoritedelaconcurrence.fr/fr/decision/relative-une-saisine-de-lunion-federale-des-consommateurs-du-val-doise-0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COUNCIL OF COMPETITION  </w:t>
        <w:br/>
        <w:t xml:space="preserve">Decision No. 99-D-35 of June 22, 1999  </w:t>
        <w:br/>
        <w:t xml:space="preserve">concerning a referral by the Union fédérale des consommateurs du Val d’Oise  </w:t>
        <w:br/>
        <w:t xml:space="preserve">The Competition Council (standing committee),  </w:t>
        <w:br/>
        <w:t xml:space="preserve">Having regard to the letter registered on June 6, 1997, under number F 962, by which the Union fédérale des consommateurs du Val d’Oise referred to the Competition Council practices implemented by the company Eurest France, which it considers anti-competitive;  </w:t>
        <w:br/>
        <w:t xml:space="preserve">Having regard to Ordinance No. 86-1243 of December 1, 1986, as amended, concerning the freedom of prices and competition, and Decree No. 86-1309 of December 29, 1986, as amended, adopted for its application;  </w:t>
        <w:br/>
        <w:t xml:space="preserve">Having regard to Decision No. 97-D-88 of December 9, 1997, of the Competition Council concerning a referral by the Union fédérale des consommateurs du Val d’Oise and concerning a stay of proceedings;  </w:t>
        <w:br/>
        <w:t xml:space="preserve">Having regard to the investigation report transmitted on January 29, 1999, following the request for investigation made by the rapporteur on December 26, 1997;  </w:t>
        <w:br/>
        <w:t xml:space="preserve">Having regard to the observations presented by the Government Commissioner;  </w:t>
        <w:br/>
        <w:t xml:space="preserve">Having regard to the other documents in the file;  </w:t>
        <w:br/>
        <w:t xml:space="preserve">The rapporteur, the general rapporteur, the Government Commissioner, and the representative of the Union fédérale des consommateurs du Val d’Oise heard;  </w:t>
        <w:br/>
        <w:t xml:space="preserve">The representative of the company Eurest heard in application of Article 25 of the aforementioned ordinance;  </w:t>
        <w:br/>
        <w:t xml:space="preserve">After deliberating in the absence of the rapporteur and the general rapporteur.  </w:t>
        <w:br/>
        <w:t xml:space="preserve">Considering that the elements collected in the current state of the file do not allow the Council to be fully informed about the practices denounced; that, under these conditions, it is necessary to proceed with a supplementary investigation,  </w:t>
        <w:br/>
        <w:t xml:space="preserve">Decides:  </w:t>
        <w:br/>
        <w:t>Sole Article: Proceedings on the referral registered under number F 962 are stayed.</w:t>
      </w:r>
    </w:p>
    <w:p>
      <w:r>
        <w:t xml:space="preserve">Deliberated, on the oral report of Mr. Guedj, by Ms. Hagelsteen, President, Ms. Pasturel, Vice-President, Messrs. Cortesse and Jenny, Vice-Presidents.  </w:t>
        <w:br/>
        <w:t xml:space="preserve">The session secretary The President  </w:t>
        <w:br/>
        <w:t xml:space="preserve">Sylvie Grando Marie-Dominique Hagelsteen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