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https://www.autoritedelaconcurrence.fr/fr/decision/relative-une-saisine-de-m-berton</w:t>
      </w:r>
    </w:p>
    <w:p>
      <w:r>
        <w:t>Pages translated : 1</w:t>
      </w:r>
    </w:p>
    <w:p/>
    <w:p>
      <w:r>
        <w:rPr>
          <w:b/>
        </w:rPr>
        <w:t>[Pages 1–1]</w:t>
      </w:r>
    </w:p>
    <w:p>
      <w:r>
        <w:t xml:space="preserve">COMPETITION COUNCIL  </w:t>
        <w:br/>
        <w:t xml:space="preserve">Decision No. 00-D-65 dated November 22, 2000  </w:t>
        <w:br/>
        <w:t xml:space="preserve">regarding a referral by Mr. Berton  </w:t>
        <w:br/>
        <w:t xml:space="preserve">The Competition Council (permanent commission),  </w:t>
        <w:br/>
        <w:t xml:space="preserve">Having regard to the letters registered on July 17 and August 28, 2000 under number F 1254 by which Mr. Berton referred to the Competition Council decisions of the Minister of Employment and UNEDIC;  </w:t>
        <w:br/>
        <w:t xml:space="preserve">Having regard to Book IV of the Commercial Code and Decree No. 86-1309 of December 29, 1986, as amended, adopted for the application of Ordinance No. 86-1243 of December 1, 1986;  </w:t>
        <w:br/>
        <w:t xml:space="preserve">Having regard to the documents in the file;  </w:t>
        <w:br/>
        <w:t xml:space="preserve">The rapporteur, the general rapporteur, the Government Commissioner having been heard during the session of October 25, 2000, Mr. Berton having been duly summoned;  </w:t>
        <w:br/>
        <w:t xml:space="preserve">Considering that Mr. Berton referred to the Competition Council practices implemented by the Minister of Employment and Solidarity and by UNEDIC;  </w:t>
        <w:br/>
        <w:t xml:space="preserve">Considering that, except in the case of ex officio referral, the Competition Council can only be seized, by application of the combined provisions of Articles L. 462-5 and L. 462-1 of Book IV of the Commercial Code, by the Minister responsible for the Economy, businesses, local authorities, professional or trade union organizations, approved consumer organizations, agricultural chambers, trade chambers, and chambers of commerce and industry regarding the interests for which they are responsible;  </w:t>
        <w:br/>
        <w:t xml:space="preserve">Considering that this enumeration is restrictive; that, therefore, the Council cannot consider requests from individuals or organizations not belonging to one or the other of the categories mentioned above;  </w:t>
        <w:br/>
        <w:t xml:space="preserve">Considering that Mr. Berton, who merely states his status as a job seeker, does not fall under any of these categories; that he therefore does not have standing to refer to the Council; that consequently, it is appropriate to declare his referral inadmissible,  </w:t>
        <w:br/>
        <w:t xml:space="preserve">DECIDES  </w:t>
        <w:br/>
        <w:t xml:space="preserve">Sole Article. - The referral registered under number F 1254 is declared inadmissible.  </w:t>
        <w:br/>
        <w:t xml:space="preserve">Deliberated, on the oral report of Ms. Palud, by Ms. Hagelsteen, President, Ms. Pasturel and Mr. Cortesse, Vice-Presidents.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