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https://www.autoritedelaconcurrence.fr/fr/decision/relative-une-saisine-de-m-christian-x-concernant-des-pratiques-mises-en-oeuvre-par-la</w:t>
      </w:r>
    </w:p>
    <w:p>
      <w:r>
        <w:t>Pages translated : 2</w:t>
      </w:r>
    </w:p>
    <w:p/>
    <w:p>
      <w:r>
        <w:rPr>
          <w:b/>
        </w:rPr>
        <w:t>[Pages 1–2]</w:t>
      </w:r>
    </w:p>
    <w:p>
      <w:r>
        <w:t xml:space="preserve">FRENCH REPUBLIC  </w:t>
        <w:br/>
        <w:t xml:space="preserve">Decision No. 03-D-70 of December 26, 2003  </w:t>
        <w:br/>
        <w:t xml:space="preserve">regarding a referral by Mr. Christian X... concerning practices  </w:t>
        <w:br/>
        <w:t xml:space="preserve">implemented by the company Groupe Volkswagen France  </w:t>
        <w:br/>
        <w:t xml:space="preserve">The Competition Council (standing committee),  </w:t>
        <w:br/>
        <w:t xml:space="preserve">Having regard to the letter registered on April 2, 2003, under number 03/0027F by which Mr. Christian X...  </w:t>
        <w:br/>
        <w:t xml:space="preserve">referred to the Competition Council practices implemented by the company Groupe  </w:t>
        <w:br/>
        <w:t xml:space="preserve">Volkswagen France;  </w:t>
        <w:br/>
        <w:t xml:space="preserve">Having regard to Book IV of the Commercial Code and Decree No. 2002-689 of April 30, 2002, setting its  </w:t>
        <w:br/>
        <w:t xml:space="preserve">conditions of application;  </w:t>
        <w:br/>
        <w:t xml:space="preserve">Having regard to the judgment dated January 10, 2002, of the Paris Tribunal de Grande Instance;  </w:t>
        <w:br/>
        <w:t xml:space="preserve">Having regard to the other documents in the file;  </w:t>
        <w:br/>
        <w:t xml:space="preserve">Having regard to the observations presented by Mr. X... and the Government Commissioner;  </w:t>
        <w:br/>
        <w:t xml:space="preserve">The rapporteur, the deputy general rapporteur, the Government Commissioner, and Mr. X...  </w:t>
        <w:br/>
        <w:t xml:space="preserve">having been heard during the session of December 10, 2003;  </w:t>
        <w:br/>
        <w:t xml:space="preserve">I. – Findings:  </w:t>
        <w:br/>
        <w:t xml:space="preserve">1. Mr. Christian X..., after having sold, on September 29, 1999, all the shares of the companies SOFIMA and Garage André Floc, holders since 1984 of a Volkswagen dealership in Rennes, to the company Wolfsburg Motors, designated by the company Groupe Volkswagen France in execution of a protocol agreement signed on December 9, 1998, referred to the Competition Council on April 2, 2003, practices that he considers prohibited by Article L 420-2 of the Commercial Code, implemented during this sale by the company Groupe Volkswagen France in the market for the sale of motor vehicles to individuals, of which the latter company held only 10% in 1999.  </w:t>
        <w:br/>
        <w:t xml:space="preserve">2. As part of a restructuring of its network of dealers, the company Groupe Volkswagen France decided, in December 1996, to terminate the contracts of two dealerships concluded with Mr. X..., with a two-year notice period expiring on December 31, 1998. The company Groupe Volkswagen France then invited Mr. X... to consider a project for the creation of a single dealership for the entire territory of the city of Rennes, requiring the repurchase by Mr. X... of the second existing dealership in this city as well as the sale of his dealership in Vannes.  </w:t>
        <w:br/>
        <w:t xml:space="preserve">3. Under a protocol agreement concluded on December 9, 1998, the company Groupe Volkswagen France, requested by Mr. X... who had not succeeded in obtaining the necessary financing to establish a single dealership in Rennes, granted him an interest-free loan of 2.5 million francs, repayable in a single payment no later than September 30, 1999, on the double condition that Mr. X... proceed with the acquisition of the second dealership in Rennes and commit to selling the two combined dealerships before June 30, 1999. Beyond this deadline, Mr. X... committed to sell the entire set to the company Groupe Volkswagen France, or to a company designated by it, for the sum of 8.25 million francs, an amount that could be revised in light of the net assets of the company at the date of the sale and under the possible arbitration of an expert near the Court of Appeal of Versailles. In return for its financial commitment, the company Groupe Volkswagen France requested Mr. X..., through Article 8 of the said protocol, to waive any proceedings or action against it related to the protocol or the termination of the dealership contract.  </w:t>
        <w:br/>
        <w:t xml:space="preserve">II. – Discussion:  </w:t>
        <w:br/>
        <w:t xml:space="preserve">4. Mr. X... argues, on the one hand, that the three-year limitation period provided for in Article L.462-7 of the Commercial Code was interrupted by the indemnity action he initiated in October 2000 before the Paris Tribunal de Grande Instance, in which he requested the annulment of the protocol agreement of December 9, 1999, and, on the other hand, that the said protocol agreement, and in particular its Article 8 prohibiting him from taking any legal action, intervened at the end of negotiations and constraints successively imposed by the company Groupe Volkswagen France with the aim of ousting him from the network of dealers to replace him with a company controlled by it, constitutes an abuse of a dominant position, within the meaning of Article L.420-2 of the Commercial Code. He further alleges that the same practice would have been implemented in the cities of Poitiers, Nantes, and Châteaubriant, demonstrating, on the part of the company Groupe Volkswagen France, a strategy of vertical control contrary to Regulation (EC) No. 1400/2002.  </w:t>
        <w:br/>
        <w:t xml:space="preserve">5. However, Article L.462-8, paragraph 1, of the Commercial Code states that the Competition Council may declare "the referral inadmissible for lack of interest or quality to act of the author thereof (...)". Furthermore, under the combined provisions of Article L.462-5 and the second paragraph of Article L 462-1 of Book IV of the Commercial Code, the Council can only be seized, except in the case of ex officio referral, by the minister responsible for the economy, businesses, local authorities, professional or trade union organizations, approved consumer organizations, agricultural chambers, trade and craft chambers, and chambers of commerce and industry regarding the interests for which they are responsible. This enumeration having a limiting character, the Council cannot consider requests from individuals or organizations not belonging, at the date of the referral, to one or the other of the aforementioned categories.  </w:t>
        <w:br/>
        <w:t xml:space="preserve">6. Mr. Christian X..., who acknowledged during his hearing by the rapporteur on October 14, 2003, and then during the session of the Council, that he no longer exercised any commercial activity in his own name on the market in question nor had a mandate to represent a company concerned by the practice denounced as of April 2, 2003, no longer had the quality to refer to the Competition Council on that date.  </w:t>
        <w:br/>
        <w:t xml:space="preserve">7. Consequently, it is necessary to apply the provisions of Article L.462-8, paragraph 1, mentioned above.  </w:t>
        <w:br/>
        <w:t xml:space="preserve">DECISION  </w:t>
        <w:br/>
        <w:t xml:space="preserve">Sole Article: The referral of Mr. Christian X..., registered under number 03/0027 F, is inadmissible.  </w:t>
        <w:br/>
        <w:t xml:space="preserve">Deliberated on the oral report of Mr. Samson, by Mr. Jenny, vice-president, presiding over the session, Mrs. Pasturel and Mr. Nasse, vice-presidents.  </w:t>
        <w:br/>
        <w:t xml:space="preserve">The session secretary, The vice-president,  </w:t>
        <w:br/>
        <w:t xml:space="preserve">Nadine Bellegarde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