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https://www.autoritedelaconcurrence.fr/fr/decision/relative-une-saisine-de-madame-yvette-grandperrin</w:t>
      </w:r>
    </w:p>
    <w:p>
      <w:r>
        <w:t>Pages translated : 2</w:t>
      </w:r>
    </w:p>
    <w:p/>
    <w:p>
      <w:r>
        <w:rPr>
          <w:b/>
        </w:rPr>
        <w:t>[Pages 1–2]</w:t>
      </w:r>
    </w:p>
    <w:p>
      <w:r>
        <w:t xml:space="preserve">FRENCH REPUBLIC  </w:t>
        <w:br/>
        <w:t xml:space="preserve">Decision No. 91-D-20 of April 24, 1991  </w:t>
        <w:br/>
        <w:t xml:space="preserve">concerning a referral by Mrs. Yvette Grandperrin  </w:t>
        <w:br/>
        <w:t xml:space="preserve">The Competition Council,  </w:t>
        <w:br/>
        <w:t xml:space="preserve">Having regard to the letter registered on March 15, 1991, under numbers F 397 and M 81, by which Mrs. Yvette Grandperrin, wife of Parouty, referred to the Competition Council practices of the Société nationale des chemins de fer français (S.N.C.F.) and the company Hachette and requested the imposition of interim measures against these companies;  </w:t>
        <w:br/>
        <w:t xml:space="preserve">Having regard to Ordinance No. 86-1243 of December 1, 1986, as amended, relating to the freedom of prices and competition, together with Decree No. 86-1309 of December 29, 1986, as amended, adopted for its application;  </w:t>
        <w:br/>
        <w:t xml:space="preserve">Having regard to the observations presented by S.N.C.F. and the company Hachette;  </w:t>
        <w:br/>
        <w:t xml:space="preserve">Having regard to the observations of the Government Commissioner;  </w:t>
        <w:br/>
        <w:t xml:space="preserve">Having regard to the other documents in the file;  </w:t>
        <w:br/>
        <w:t xml:space="preserve">The rapporteur, the general rapporteur, the Government Commissioner, and the parties heard;  </w:t>
        <w:br/>
        <w:t xml:space="preserve">Considering that, in her referral letter, Mrs. Grandperrin requests the Competition Council to find that the conditions under which S.N.C.F. did not renew the concession contract for a 9 square meter premises that she occupied in the new Suresnes station to carry out a 'croissanterie' activity are contrary to the provisions of Articles 7 and 8 of the ordinance of December 1, 1986, and that she further requests the Competition Council to order, as an interim measure and pursuant to the provisions of Article 12 of the aforementioned 1986 ordinance, the suspension of the execution of this allocation;  </w:t>
        <w:br/>
        <w:t>Considering that the application of the provisions of Article 12 of the 1986 ordinance is notably subject to the finding of behaviors that may be related to the practices referred to in Articles 7 and 8; that under the terms of Article 19 of the same ordinance, the Competition Council may declare, by reasoned decision, the referral inadmissible if it considers that the facts invoked do not fall within its jurisdiction or are not supported by sufficiently probative elements;</w:t>
      </w:r>
    </w:p>
    <w:p>
      <w:r>
        <w:t xml:space="preserve">Considering that under the terms of Article 53 of the same text 'the rules defined in this ordinance apply to all activities of production, distribution, or services, including those carried out by public entities';  </w:t>
        <w:br/>
        <w:t xml:space="preserve">But considering that the non-renewal of the public domain occupation contract concluded with Mrs. Grandperrin and the choice of a new awardee constitute acts of management of the public railway domain carried out by S.N.C.F., a public enterprise; that such acts do not constitute an activity of production, distribution, or services within the meaning of Article 53 of the ordinance and are therefore outside the jurisdiction of the Competition Council;  </w:t>
        <w:br/>
        <w:t xml:space="preserve">Considering that it follows from the above that the substantive referral is inadmissible and that, consequently, and pursuant to the provisions of Article 12 of the decree of December 29, 1986, the request for interim measures can only be rejected,  </w:t>
        <w:br/>
        <w:t xml:space="preserve">Decides:  </w:t>
        <w:br/>
        <w:t xml:space="preserve">Art. 1. - The substantive referral presented by Mrs. Grandperrin and registered under number F 397 is declared inadmissible.  </w:t>
        <w:br/>
        <w:t xml:space="preserve">Art. 2. - The request for interim measures registered under number M 81 is rejected.  </w:t>
        <w:br/>
        <w:t xml:space="preserve">Deliberated in permanent commission on the oral report of Mr. Jean-Claude Facchin in its session of April 24, 1991, where sat;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