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https://www.autoritedelaconcurrence.fr/fr/decision/relative-une-saisine-de-maitre-chebbat-de-la-societe-anonyme-jmc-industrie-la-societe</w:t>
      </w:r>
    </w:p>
    <w:p>
      <w:r>
        <w:t>Pages translated : 2</w:t>
      </w:r>
    </w:p>
    <w:p/>
    <w:p>
      <w:r>
        <w:rPr>
          <w:b/>
        </w:rPr>
        <w:t>[Pages 1–2]</w:t>
      </w:r>
    </w:p>
    <w:p>
      <w:r>
        <w:t xml:space="preserve">COUNCIL OF COMPETITION  </w:t>
        <w:br/>
        <w:t xml:space="preserve">Decision No. 01-D-09 of April 10, 2001  </w:t>
        <w:br/>
        <w:t xml:space="preserve">regarding a referral by Mr. Chebbat, the public limited company JMC Industrie  </w:t>
        <w:br/>
        <w:t xml:space="preserve">and the public limited company Pitney Bowes France,  </w:t>
        <w:br/>
        <w:t xml:space="preserve">concerning the postal franking machine rental sector  </w:t>
        <w:br/>
        <w:t xml:space="preserve">The Competition Council (section III),  </w:t>
        <w:br/>
        <w:t xml:space="preserve">Having regard to the letter, registered on September 29, 1992 under No. F 539, by which Mr. Paul-André Chebbat referred to the Competition Council practices implemented by the public limited company Secap in the postal franking machine rental sector;  </w:t>
        <w:br/>
        <w:t xml:space="preserve">Having regard to the letter, registered on November 12, 1996 under No. F 918, by which the company JMC Industries referred to the Competition Council practices implemented by the company Satas and by companies operating in the postal franking machine rental sector;  </w:t>
        <w:br/>
        <w:t xml:space="preserve">Having regard to the letter, registered on December 15, 1997 under No. F 992, by which the company Pitney Bowes France referred to the Competition Council practices implemented by the companies Neopost, Satas and Secap, in the postal franking machine rental sector;  </w:t>
        <w:br/>
        <w:t xml:space="preserve">Having regard to Book IV of the Commercial Code and Decree No. 86-1309 of December 29, 1986 as amended, taken for the application of Ordinance No. 86-1243 of December 1, 1986;  </w:t>
        <w:br/>
        <w:t xml:space="preserve">Having regard to the observations presented by the public limited company Pitney Bowes France and by the Government Commissioner;  </w:t>
        <w:br/>
        <w:t xml:space="preserve">Having regard to the other documents in the file;  </w:t>
        <w:br/>
        <w:t xml:space="preserve">The rapporteur, the general rapporteur, the Government Commissioner and the representatives of the company Pitney Bowes France, as well as Mr. Brune, expert, director of mail at La Poste, heard during the session of March 6, 2001, Mr. Chebbat and the manager of the company JMC Industries having been regularly summoned;  </w:t>
        <w:br/>
        <w:t xml:space="preserve">Considering that the elements collected, in the current state of the file, do not allow the Council to be fully informed about the practices denounced in the referrals and their effects; that it appears necessary, in particular, to have additional clarifications on the definition of the market, on the turnover achieved by each of the companies concerned in the postal franking machine rental market, on the rental conditions of these machines in foreign countries, on the relations between the companies Neopost France and Satas, and on the allocation of the Community market by the denounced practices; that it is therefore necessary to proceed with a supplementary investigation,  </w:t>
        <w:br/>
        <w:t xml:space="preserve">Decides:  </w:t>
        <w:br/>
        <w:t xml:space="preserve">Sole Article.- The decision on the referrals registered under numbers F 539, F 918 and F 992 is suspended.  </w:t>
        <w:br/>
        <w:t xml:space="preserve">Deliberated, on the report of Mr. Albertini, by Ms. Hagelsteen, president, Ms. Pasturel, vice-president, Mr. Bidaud, Ms. Boutard-Labarde, Mr. Robin, Mr. Sloan and Ms. Flüry-Herard, members.  </w:t>
        <w:br/>
        <w:t xml:space="preserve">The session secretary, The president,  </w:t>
        <w:br/>
        <w:t xml:space="preserve">Patricia Perrin Marie-Dominique Hagelsteen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