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https://www.autoritedelaconcurrence.fr/fr/decision/relative-une-saisine-de-monsieur-lefrancois-portant-sur-la-convention-nationale-destinee</w:t>
      </w:r>
    </w:p>
    <w:p>
      <w:r>
        <w:t>Pages translated : 2</w:t>
      </w:r>
    </w:p>
    <w:p/>
    <w:p>
      <w:r>
        <w:rPr>
          <w:b/>
        </w:rPr>
        <w:t>[Pages 1–2]</w:t>
      </w:r>
    </w:p>
    <w:p>
      <w:r>
        <w:t>Decision No. 02-D-52 of September 4, 2002</w:t>
        <w:br/>
        <w:t>regarding a referral by Mr. Lefrançois</w:t>
        <w:br/>
        <w:t>concerning the national agreement intended to organize relations</w:t>
        <w:br/>
        <w:t>between general practitioners and health insurance funds</w:t>
        <w:br/>
        <w:t>The Competition Council (standing committee),</w:t>
        <w:br/>
        <w:t>Having regard to the letters registered on July 20 and July 27, 2001, under number F 1337, by which Mr. Lefrançois, a physician, referred to the Competition Council practices he considers anti-competitive resulting from the provisions of the national agreement intended to organize relations between general practitioners and health insurance funds;</w:t>
        <w:br/>
        <w:t>Having regard to Book IV of the Commercial Code relating to the freedom of prices and competition and Decree No. 86-1309 of December 29, 1986, as amended, adopted for the application of Ordinance No. 86-1243 of December 1, 1986, as well as Decree No. 2002-689 of April 30, 2002, setting the conditions for the application of Book IV of the Commercial Code;</w:t>
        <w:br/>
        <w:t>The rapporteur, the deputy general rapporteur, the Government Commissioner, and Mr. Lefrançois heard during the session of June 19, 2002;</w:t>
        <w:br/>
        <w:t>Considering that paragraph 1 of Article L. 462-8 of the Commercial Code states that the Council may declare the referral inadmissible, "(…) if it considers that the facts invoked do not fall within its jurisdiction";</w:t>
        <w:br/>
        <w:t>Considering that Mr. Lefrançois states that the closure to new physicians of the tariff sectors with "different fees" (sector 2), imposed by the national agreements of 1993 and 1998 intended to organize relations between general practitioners and health insurance funds, creates discrimination among general practitioners;</w:t>
        <w:br/>
        <w:t>Considering that he argues that this closure of the so-called "free fee" sector to new physicians was imposed by the 1993 agreement, signed between the physicians' unions and the health insurance funds; that this provision was perpetuated by the 1998 agreement and that, since that date, all general practitioners who establish themselves are forced to practice in the sector with regulated fees (sector 1);</w:t>
        <w:br/>
        <w:t>Considering that Article L. 162-5 of the Social Security Code provides that "the relations between health insurance organizations and physicians are defined by national agreements concluded separately for general practitioners and specialist physicians, by the National Health Insurance Fund for salaried workers, at least one other National Health Insurance Fund and one or more representative trade union organizations for the entire territory of general practitioners or specialist physicians or by a national agreement concluded by the National Health Insurance Fund for salaried workers and at least one representative trade union organization for the entire territory of general practitioners..."; that this article further states that the national agreements referred to determine the conditions for the practice of general medicine and the mechanisms for controlling medical expenses;</w:t>
        <w:br/>
        <w:t>Considering that the Constitutional Council, seized of the provisions of Article 17 of Law No. 90-86 of January 23, 1990, included, in particular, in Articles L. 162-5 and L. 162-6 of the Social Security Code, specified, in Decision No. 89-269 of January 22, 1990, that "the entry into force of either of the agreements provided for in Article L. 162-5 of the Social Security Code is subject to its approval by the ministerial authority; that this approval has the effect of conferring a regulatory character to the stipulations of the agreement that fall within the scope of the provisions of Article L. 162-6 of the aforementioned code";</w:t>
        <w:br/>
        <w:t>Considering, therefore, that the agreements in question in this case have a regulatory character and that, consequently, only administrative jurisdictions are competent to hear them; that it is appropriate, therefore, to apply the provisions of Article L. 462-8 paragraph 1, as stated above;</w:t>
        <w:br/>
        <w:t>DECIDES</w:t>
        <w:br/>
        <w:t>Sole Article: The referral registered under number F 1337 is declared inadmissible.</w:t>
        <w:br/>
        <w:t>Deliberated on the oral report of Ms. Chaulet-Philippe, by Ms. Hagelsteen, president, Ms. Pasturel, vice-president, and Mr. Piot, member replacing Mr. Nasse, vice-president prevented.</w:t>
        <w:br/>
        <w:t>The secretary of the session,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