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https://www.autoritedelaconcurrence.fr/fr/decision/relative-une-saisine-des-societes-4d-generale-de-la-ferme-et-heiba</w:t>
      </w:r>
    </w:p>
    <w:p>
      <w:r>
        <w:t>Pages translated : 8</w:t>
      </w:r>
    </w:p>
    <w:p/>
    <w:p>
      <w:r>
        <w:rPr>
          <w:b/>
        </w:rPr>
        <w:t>[Pages 1–3]</w:t>
      </w:r>
    </w:p>
    <w:p>
      <w:r>
        <w:t xml:space="preserve">COMPETITION COUNCIL  </w:t>
        <w:br/>
        <w:t xml:space="preserve">Decision No. 00-D-40 of September 20, 2000  </w:t>
        <w:br/>
        <w:t>concerning a referral from the companies 4 D, Générale de la Ferme, and Heiba</w:t>
      </w:r>
    </w:p>
    <w:p>
      <w:r>
        <w:t xml:space="preserve">The Competition Council (permanent commission),  </w:t>
        <w:br/>
        <w:t xml:space="preserve">Having regard to the letters registered on June 26 and October 1, 1998, under numbers F 1059 and F 1085, by which the company 4 D, on the one hand, and the companies Générale de la Ferme and Heiba, on the other hand, referred to the Competition Council practices implemented by:  </w:t>
        <w:br/>
        <w:t xml:space="preserve">the Society of Authors, Composers, and Music Publishers (SACEM)  </w:t>
        <w:br/>
        <w:t xml:space="preserve">the Civil Society for the Collection of Equitable Remuneration for the Public Communication of Commercial Phonograms (SPRE),  </w:t>
        <w:br/>
        <w:t xml:space="preserve">the Society for the Administration of the Rights of Performing Artists and Musicians (ADAMI),  </w:t>
        <w:br/>
        <w:t xml:space="preserve">the Society for the Collection and Distribution of the Rights of Performing Artists in Music and Dance (SPEDIDAM),  </w:t>
        <w:br/>
        <w:t xml:space="preserve">the Civil Society of Associated Producers (SCPA),  </w:t>
        <w:br/>
        <w:t xml:space="preserve">the Civil Society for the Exercise of the Rights of Phonographic Producers (SCPP),  </w:t>
        <w:br/>
        <w:t>the Civil Society of Phonogram Producers in France (SCPPF).</w:t>
      </w:r>
    </w:p>
    <w:p>
      <w:r>
        <w:t xml:space="preserve">Having regard to Ordinance No. 86-1243 of December 1, 1986, as amended, concerning price and competition freedom and Decree No. 86-1309 of December 29, 1986, as amended, taken for its application;  </w:t>
        <w:br/>
        <w:t xml:space="preserve">Having regard to the observations presented by the referring companies and the Government Commissioner;  </w:t>
        <w:br/>
        <w:t xml:space="preserve">Having regard to the other documents in the file;  </w:t>
        <w:br/>
        <w:t xml:space="preserve">The rapporteur, the general rapporteur, the Government Commissioner, and the representative of the referring companies heard during the session of July 19, 2000;  </w:t>
        <w:br/>
        <w:t xml:space="preserve">After deliberating in the absence of the rapporteur and the general rapporteur;  </w:t>
        <w:br/>
        <w:t>Adopts the decision based on the findings (I) and the reasons (II) set forth below:</w:t>
      </w:r>
    </w:p>
    <w:p>
      <w:r>
        <w:t xml:space="preserve">I. - Findings  </w:t>
        <w:br/>
        <w:t>A. - THE LEGAL CONTEXT</w:t>
      </w:r>
    </w:p>
    <w:p>
      <w:r>
        <w:t xml:space="preserve">The Intellectual Property Code states in Article L. 111-1 that the author of a work of the mind enjoys, by the mere fact of its creation, an exclusive incorporeal property right enforceable against all.  </w:t>
        <w:br/>
        <w:t xml:space="preserve">Musical compositions with or without lyrics are notably considered works of the mind. Authors of translations, adaptations, transformations, or arrangements of works of the mind enjoy the protection established by the Intellectual Property Code. The exploitation right belonging to the author includes the right of performance and the right of reproduction. These rights are transferable either free of charge or for a fee.  </w:t>
        <w:br/>
        <w:t xml:space="preserve">Neighboring rights to copyright are the rights of performers, producers of phonograms and videograms, and audiovisual companies.  </w:t>
        <w:br/>
        <w:t xml:space="preserve">A remuneration is paid by those who use published phonograms for commercial purposes and is divided equally between performers and phonogram producers.  </w:t>
        <w:br/>
        <w:t>The Intellectual Property Code provides that the collection and distribution of remuneration for authors, performers, and phonogram producers can be carried out by civil societies representing these beneficiaries.</w:t>
      </w:r>
    </w:p>
    <w:p>
      <w:r>
        <w:t xml:space="preserve">B. - ORGANIZATION OF THE SECTOR  </w:t>
        <w:br/>
        <w:t xml:space="preserve">Remuneration is collected from various economic actors (television, radio, discotheques, or other sound establishments).  </w:t>
        <w:br/>
        <w:t xml:space="preserve">Creators entrust a service provider with the task of monitoring the use of their works by numerous and diverse operators and collecting the royalties due on this use.  </w:t>
        <w:br/>
        <w:t xml:space="preserve">Users, for their part, cannot proceed to the public dissemination of a work without authorization. They resort to a service provider to access the repertoire easily and legally.  </w:t>
        <w:br/>
        <w:t xml:space="preserve">The societies for the collection and distribution of authors' rights and the rights of performing artists and phonogram producers, whose role and organization are provided for by the Intellectual Property Code (Book III, Title II), act as intermediaries.  </w:t>
        <w:br/>
        <w:t>Authors-composers or music publishers may, for the exploitation of their property rights, join SACEM, the civil society for the collection and distribution of music authors' rights. By this membership, they contribute to the society, in all countries, the right they hold to authorize or prohibit the public performance and representation of the works they have created or exploited and to collect on their behalf the rights related to public performance, public representation, or mechanical reproduction of these works.</w:t>
      </w:r>
    </w:p>
    <w:p>
      <w:r>
        <w:t xml:space="preserve">Performers and producers of phonograms and videograms receive "equitable remuneration" through the Civil Society for the Collection of Equitable Remuneration for the Public Communication of Commercial Phonograms (SPRE), which is composed of the Society for the Administration of the Rights of Performing Artists and Musicians (ADAMI), the Society for the Collection and Distribution of the Rights of Performing Artists in Music and Dance (SPEDIDAM), the Civil Society for the Exercise of the Rights of Phonographic Producers (SCPP), and the Civil Society of Phonogram Producers in France (SCPPF).  </w:t>
        <w:br/>
        <w:t xml:space="preserve">The SPRE is specifically tasked with:  </w:t>
        <w:br/>
        <w:t xml:space="preserve">managing on behalf of its associates, from whom it receives exclusive delegation for this purpose, the right to equitable remuneration of performing artists and phonogram producers, or their rights holders, in connection with the public communication of phonograms published for commercial purposes, when their authorization is not required;  </w:t>
        <w:br/>
        <w:t xml:space="preserve">collecting on behalf of the associates within the framework of equitable remuneration, the remuneration due to performing artists and phonogram producers, or their rights holders, in connection with the public communication of phonograms published for commercial purposes, when their authorization is required.  </w:t>
        <w:br/>
        <w:t xml:space="preserve">The scales for equitable remuneration are set in application of Article L. 214-4 of the Intellectual Property Code by an administrative commission which, by a decision dated June 28, 1996, published in the Official Journal of July 25, 1996, established the basis for the remuneration due by discotheques and similar establishments as well as the applicable rate. Two successive reductions are possible depending, on the one hand, on the date on which the establishments pay the royalties, and on the other hand, on the dates of communication of the revenue declarations.  </w:t>
        <w:br/>
        <w:t xml:space="preserve">This decision was validated and made applicable for five years by Law No. 97-283 of March 27, 1997.  </w:t>
        <w:br/>
        <w:t xml:space="preserve">By the two aforementioned letters of June 25, 1998, and September 29, 1999, the Council was referred to the following practices:  </w:t>
        <w:br/>
        <w:t xml:space="preserve">SACEM and SPRE would have concluded discriminatory tariff agreements with various unions;  </w:t>
        <w:br/>
        <w:t xml:space="preserve">SACEM and SPRE would have concluded bilateral agreements with foreign authors' societies whereby said societies would prohibit themselves from collecting rights in France;  </w:t>
        <w:br/>
        <w:t xml:space="preserve">SACEM and SPRE would be bound by an anti-competitive mandate agreement;  </w:t>
        <w:br/>
        <w:t xml:space="preserve">SACEM and SPRE would have resorted in discriminatory conditions to judicial procedures to recover rights;  </w:t>
        <w:br/>
        <w:t xml:space="preserve">SACEM and SPRE would have established a discriminatory tariff distinguishing between musical establishments subject to a flat-rate pricing and establishments subject to a pricing proportional to revenue and would have applied it incorrectly to the company Heida.  </w:t>
        <w:br/>
        <w:t>A report proposing a dismissal of the procedure was notified to the referring companies and the Government Commissioner.</w:t>
      </w:r>
    </w:p>
    <w:p>
      <w:r>
        <w:rPr>
          <w:b/>
        </w:rPr>
        <w:t>[Pages 4–6]</w:t>
      </w:r>
    </w:p>
    <w:p>
      <w:r>
        <w:t>II. - Based on the preceding findings, the Council,</w:t>
      </w:r>
    </w:p>
    <w:p>
      <w:r>
        <w:t>Considering that two activities are concerned by the referral: the collection of neighboring rights from discotheques and similar establishments and the collection and distribution of music authors' rights with or without lyrics from the same establishments.</w:t>
      </w:r>
    </w:p>
    <w:p>
      <w:r>
        <w:t>Considering that SACEM and SPRE are, for the former, the only organization in France managing the authors' rights of musical works and equipped with the necessary means to collect these rights throughout the territory and to distribute them among the rights holders, and for the latter, the only society for the collection of equitable remuneration rights for performing artists and phonogram producers; that they each therefore benefit from a dominant position and even a de facto monopoly;</w:t>
      </w:r>
    </w:p>
    <w:p>
      <w:r>
        <w:t>Regarding the referral against collective management societies other than SACEM and SPRE,</w:t>
      </w:r>
    </w:p>
    <w:p>
      <w:r>
        <w:t>Considering that the Competition Council, pursuant to Article 19 of the aforementioned ordinance of December 1, 1986, may declare the referral inadmissible if it finds that the facts are not supported by sufficiently probative elements; that in this case, no specific grievance is articulated against the societies ADAMI, SPEDIDAM, SCPA, SCPP, and SCPPF, whose practices are not examined in the referral letter; that it is therefore appropriate to declare the referral inadmissible as it concerns these societies;</w:t>
      </w:r>
    </w:p>
    <w:p>
      <w:r>
        <w:t>Regarding the complaint made against SACEM and SPRE for applying different rates depending on whether the establishments are discotheques or music bars,</w:t>
      </w:r>
    </w:p>
    <w:p>
      <w:r>
        <w:t>Considering that the referrers indicated that the remuneration received by the accused societies was proportional to the turnover for discotheques and flat-rate for music bars; that they argue that this distinction would be a discriminatory practice constituting an abuse of dominant position;</w:t>
      </w:r>
    </w:p>
    <w:p>
      <w:r>
        <w:t>Considering that neither the referrers nor the investigation provided elements capable of demonstrating that the two types of establishments mentioned would be active in the same market; that, on the contrary, music bars are defined by SACEM as "establishments whose main revenue consists of the sale of beverages, possibly including a food service, without a dance floor or dancing, not providing performances intended for the public coming to attend them, for which music is an accessory element in their activity, but constitutes an essential component of the environment and decor," whereas discotheques present attractive musical animations; that musical animations are attractive in the following three cases: "practice of dancing by the clientele; presence of a dance floor; performances or broadcasts of works belonging to the SACEM repertoire, given in the form of a performance intended for an audience coming to attend them";</w:t>
      </w:r>
    </w:p>
    <w:p>
      <w:r>
        <w:t>Considering that the fact, assuming it is established, that an establishment managed by one of the referrer societies would have been wrongly classified in the category of discotheques cannot in itself be qualified under Title III of the ordinance of December 1, 1986, since no anti-competitive object or effect is alleged or established against this classification;</w:t>
      </w:r>
    </w:p>
    <w:p>
      <w:r>
        <w:t>Regarding the claim that SACEM and SPRE do not account to authors and performing artists for the reality of the collections they operate,</w:t>
      </w:r>
    </w:p>
    <w:p>
      <w:r>
        <w:t>Considering that, even if SACEM and SPRE do not account to authors and performing artists for the reality of the collections they operate, this situation would fall under a possible breach of the contractual commitments existing between these persons and said societies; that, unless proof of market disruption is provided, which is not the case, the issue raised does not fall within the Council's jurisdiction;</w:t>
      </w:r>
    </w:p>
    <w:p>
      <w:r>
        <w:t>Regarding the mandate agreement between SACEM and SPRE,</w:t>
      </w:r>
    </w:p>
    <w:p>
      <w:r>
        <w:t>Considering that the referrer parties accuse SACEM and SPRE of having signed, in 1990, a mandate agreement whereby SACEM collects neighboring rights on behalf of SPRE, with the latter being responsible for remunerating this service; that they add that this mandate agreement should be analyzed as a concentration act within the meaning of Articles 38 and 39 of the ordinance of December 1, 1986 and that it would constitute an abusive exploitation of a dominant position allowing the Council to apply Article 43 of the ordinance of December 1, 1986;</w:t>
      </w:r>
    </w:p>
    <w:p>
      <w:r>
        <w:t>Considering that the implementation of Article 43 of the ordinance of December 1, 1986 does not fall under the contentious procedures provided for in Title III of the same text;</w:t>
      </w:r>
    </w:p>
    <w:p>
      <w:r>
        <w:t>Considering, regarding the application of Article 8 of the ordinance, that, by agreement of July 2, 1990, SPRE had mandated SACEM to collect on its behalf the "equitable remuneration" due by discotheques and similar activities, on the one hand, and by soundproofed establishments and venues, on the other hand; that, by letters addressed to the Minister of Culture and to the managers of SPRE, dated July 29, 1994, SACEM suspended the mandate given by SPRE regarding the collection of neighboring rights in the discotheque sector; that consequently, and pursuant to the agreement of July 2, 1990, this mandate ended on February 1, 1995; that there is therefore no need to examine the referral in this regard in the discotheque sector since the practices related to the execution of the mandate, dating back more than three years, are time-barred under Article 27 of the aforementioned ordinance; that, if the referrer parties argue that this mandate persists, they do not demonstrate it, the document submitted concerning a music bar and not a discotheque; that in any case, the collection by SACEM, on behalf of SPRE, of the royalties that the latter is tasked with collecting cannot in itself be considered as the abusive exploitation of a dominant position, since SPRE does not have, unlike SACEM, an adapted collection structure; that the investigation does not provide any probative element establishing that the mandate agreement binding SACEM and SPRE had an anti-competitive effect or object;</w:t>
      </w:r>
    </w:p>
    <w:p>
      <w:r>
        <w:t>Regarding the bilateral agreements of SACEM and SPRE with foreign distribution societies,</w:t>
      </w:r>
    </w:p>
    <w:p>
      <w:r>
        <w:t>Considering that the referrer societies further accuse the accused societies of abusing their dominant position by not allowing discotheques to join distribution societies from another country in the European Union; that, in a decision dated November 12, 1992, the European Commission noted that any copyright management society wishing to operate directly in a territory other than its own should establish a management system allowing it to negotiate with clients, verify the elements constituting the basis for royalties, monitor the use of its repertoire, and take necessary measures regarding infringements of which it might be a victim, whereas it can manage its repertoire in a less costly and more efficient manner by entrusting it to a society established in the other territory; that thus, the hypothesis of a concerted practice was not the only plausible explanation for the behavior of the incriminated copyright societies, since these societies had no interest in using any method other than that of the mandate conferred to the society established in the concerned territory; that, by a ruling dated November 27, 1997, the Court of First Instance of the European Communities confirmed the Commission's decision on this point; that moreover, in a ruling of April 24, 1985, which was subject to an appeal rejected on March 10, 1987 by the Court of Cassation, the first chamber of the Paris Court of Appeal indicated that, according to the combined provisions of the Treaty of Rome and domestic law, SACEM, despite its dominant position, does not violate French competition law when it signs such agreements, the refusal of foreign societies to contract with French discotheques being due to the simple impossibility of effectively controlling their repertoire in a territory other than their own;</w:t>
      </w:r>
    </w:p>
    <w:p>
      <w:r>
        <w:t>Regarding the conclusion of agreements with various trade union organizations,</w:t>
      </w:r>
    </w:p>
    <w:p>
      <w:r>
        <w:t>Considering that the referrer parties accuse SACEM and SPRE of having concluded agreements with various trade union organizations that are not representative of the entire profession resulting in preferential rates;</w:t>
      </w:r>
    </w:p>
    <w:p>
      <w:r>
        <w:t>Considering that the rate reductions granted to professional unions are in exchange for real advantages, related to the prevention of fraud risks and to a self-control of the regularity of payments; that a ruling of April 16, 1985 by the Court of Cassation holds that such a method is likely to promote better management of authors' rights and is in accordance with the interest of the authors themselves and that of the users who are thus offered a possibility of rate reduction; that furthermore, the elements submitted to the debate by SPRE establish that equivalent conditions have been individually proposed to all discotheques;</w:t>
      </w:r>
    </w:p>
    <w:p>
      <w:r>
        <w:t>Regarding the legal actions of SACEM,</w:t>
      </w:r>
    </w:p>
    <w:p>
      <w:r>
        <w:t>Considering that legal action is defined by Article 30 of the new Code of Civil Procedure as "the right, for the author of a claim, to be heard on the merits of it so that the judge may declare it well or poorly founded"; that, consisting of the power recognized to natural or legal persons to address justice to obtain the recognition of their rights in compliance with the law, it appears as part of the exercise of a fundamental freedom; that, pursuant to this principle, the Competition Council has, on several occasions, notably in decision No. 94-D-59 of November 8, 1994, specified</w:t>
      </w:r>
    </w:p>
    <w:p>
      <w:r>
        <w:rPr>
          <w:b/>
        </w:rPr>
        <w:t>[Pages 7–8]</w:t>
      </w:r>
    </w:p>
    <w:p>
      <w:r>
        <w:t>that: "the act of taking legal action is the expression of a fundamental right (...) and cannot be considered, in itself, as constituting an anti-competitive concerted action"; that the fact for a creditor to initiate proceedings against its oldest debtors and "those who have most manifested their resistance" to its settlement requests appears as the expression of a recovery policy that it is up to the creditor to determine under the control of its potential mandates and cannot, by itself, constitute a practice of collusion or abuse of a dominant position; that it would be different if it were established that the action or inaction of SACEM in taking legal action was part of a practice of collusion or anti-competitive abuse of a dominant position; that nothing in the elements collected during the investigation supports this thesis; that, on the contrary, in addition to the initiating companies which do not contest being debtors of SACEM, a significant number of discotheques in Isère and the surrounding areas, which had not paid the owed fees, have also been summoned before the Grenoble High Court;</w:t>
      </w:r>
    </w:p>
    <w:p>
      <w:r>
        <w:t>On the classification of establishments brought to the Heiba company and the discriminatory practices applied to them,</w:t>
      </w:r>
    </w:p>
    <w:p>
      <w:r>
        <w:t>Considering that the initiating parties do not produce elements capable of establishing the implementation, attributed to SACEM, of discriminatory practices between establishments liable for rights; that, on the one hand, they have made no observations against the list classifying the dance and performance establishments in Isère by categories according to whether they are discotheques, dance and performance without discotheque, or mixed establishments, submitted to the debates by SACEM on February 10, 2000, following its hearing by the rapporteur; that, on the other hand, the complaint made by the Heiba company, operating "the 25th hour" and the "Banana’s" for having classified these establishments in the category of discotheques appears unfounded, as the documents produced show that "the 25th hour" is a karaoke restaurant organizing dance sessions and that the "Banana’s" is a dancing bar open from 8 PM to 4 AM and a restaurant until 1 AM; that the fees charged are different depending on whether they apply to revenues from catering or from the sale of drinks, in accordance with the general rules of authorization and pricing of SACEM submitted to the debates; that finally, the Heiba company provides no evidence to establish that it attempted to contest the classification of these establishments with SACEM;</w:t>
      </w:r>
    </w:p>
    <w:p>
      <w:r>
        <w:t>Considering that it follows from all of the above that there is no need to continue the procedure,</w:t>
      </w:r>
    </w:p>
    <w:p>
      <w:r>
        <w:t>Decides:</w:t>
      </w:r>
    </w:p>
    <w:p>
      <w:r>
        <w:t>Article 1: The referral, as directed against the Society for the Administration of the Rights of Performing Artists and Musicians (ADAMI), the Society for the Collection and Distribution of the Rights of Performing Artists in Music and Dance (SPEDIDAM), the Civil Society of Associated Producers (SCPA), the Civil Society for the Exercise of the Rights of Phonographic Producers (SCPP), and the Civil Society of Phonogram Producers in France (SCPPF), is declared inadmissible.</w:t>
      </w:r>
    </w:p>
    <w:p>
      <w:r>
        <w:t>Article 2: There is no need to continue the procedure against the Society of Authors, Composers, and Music Publishers (SACEM) and the Civil Society for the Collection of Equitable Remuneration for the Public Communication of Commercial Phonograms (SPRE).</w:t>
      </w:r>
    </w:p>
    <w:p>
      <w:r>
        <w:t xml:space="preserve">Deliberated, on the report of Ms. Servella-Huertas, by Mr. Jenny, Vice-President, presiding over the session, Ms. Pasturel and Mr. Cortesse, Vice-Presidents.  </w:t>
        <w:br/>
        <w:t xml:space="preserve">The Secretary of the session, The Vice-President,  </w:t>
        <w:br/>
        <w:t xml:space="preserve">presiding over the session  </w:t>
        <w:br/>
        <w:t xml:space="preserve">Patricia Perrin Frédéric Jenny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