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https://www.autoritedelaconcurrence.fr/fr/decision/relative-une-saisine-du-syndicat-cfdt-radio-tele</w:t>
      </w:r>
    </w:p>
    <w:p>
      <w:r>
        <w:t>Pages translated : 4</w:t>
      </w:r>
    </w:p>
    <w:p/>
    <w:p>
      <w:r>
        <w:rPr>
          <w:b/>
        </w:rPr>
        <w:t>[Pages 1–3]</w:t>
      </w:r>
    </w:p>
    <w:p>
      <w:r>
        <w:t>COMPETITION COUNCIL</w:t>
        <w:br/>
        <w:t>Decision No. 01-D-81 of December 19, 2001</w:t>
        <w:br/>
        <w:t>regarding a referral from the CFDT Radio Télé Union</w:t>
        <w:br/>
        <w:t>The Competition Council (Permanent Commission);</w:t>
        <w:br/>
        <w:t>Considering the letter registered on April 2, 2001, under number F 1300, supplemented by a second letter dated April 23, 2001, by which the CFDT Radio Télé Union, represented by Mr. Jacques Ricau, referred to the Competition Council facts attributable to the television broadcasting companies (TF1, FRANCE Télévision, Canal +, ARTE, Métropole Télévision, EUROSPORT, TPS, PARIS PREMIERE, PATHESPORT), likely to fall within the scope of Articles L. 420-2 and following of the Commercial Code;</w:t>
        <w:br/>
        <w:t>Considering Book IV of the Commercial Code, relating to price freedom and competition, and Decree No. 86-1309 of December 29, 1986, as amended, taken for the application of Ordinance No. 86-1243 of December 1, 1986;</w:t>
        <w:br/>
        <w:t>Considering the other documents in the file;</w:t>
        <w:br/>
        <w:t>The rapporteur, the general rapporteur, the government commissioner, and the representative of the Union, heard during the session of October 23, 2001;</w:t>
        <w:br/>
        <w:t>Considering that the CFDT Radio Télé Union, representing the staff of three audiovisual service provider companies, Société Française de Production (SFP), Télé Diffusion de France (TDF), and Vidéo Communication France (VCF), referred to the Competition Council facts attributable to the television broadcasting companies (TF1, FRANCE Télévision, Canal +, ARTE, Métropole Télévision, EUROSPORT, TPS, PARIS PREMIERE, PATHESPORT), which are likely to fall within the scope of Articles L. 420-2 and following of the Commercial Code;</w:t>
        <w:br/>
        <w:t>Considering that the three audiovisual service provider companies mentioned above have a dual activity: that of offering producers technical means for filming television series, variety shows, or games (the "studio" activity) and that of directly providing channels with images of events (the "mobile video" activity);</w:t>
        <w:br/>
        <w:t>Considering that the offer of these companies meets the demand of the broadcasters; that this demand can be delineated from the statistics established by the CSA recording the number of broadcast hours of the main television channels (TF1, France 2, France 3, M6, Canal +) and establishing the ranking of programs by genre, also indicating the number of broadcast hours for each of these categories; that it appears from this data that television fiction represented 32.2% in 1998 and 35.2% in 1999 of the total broadcast hours; documentation and magazines, 9.3% in 1998 and 15.3% of the total hours in 1999; music and entertainment, 9.3% in 1998 and 15.3% in 1999; information, 10.8% in 1999 and 9.8% in 1998; and sports 5.7% of broadcast hours in 1999 and 20.7% in 1998; that moreover, the demand from broadcasters conditions the distribution of technical service activity between, on the one hand, the "studio" activity and, on the other hand, the "mobile video" activity, since one is oriented towards providing means for filming movies, magazines, game shows, or entertainment programs, an activity that is predominant in terms of broadcast hours and also results in a significant volume of activity for the service providers, the other being directed towards the coverage of events, particularly sports, which is by nature more seasonal;</w:t>
      </w:r>
    </w:p>
    <w:p>
      <w:r>
        <w:t>On the existence of a practice of collective abuse of dominant position by broadcasters</w:t>
      </w:r>
    </w:p>
    <w:p>
      <w:r>
        <w:t>Considering that the CFDT Radio Télé union argues that the broadcasters, that is to say, the television channels, form an oligopoly that holds a collective dominant position;</w:t>
        <w:br/>
        <w:t>Considering that the complainant adds that the relevant market is restricted to that of the production of images of sporting events and that in the market thus defined, the broadcasters seek to ensure exclusivity of the broadcast of sporting events; that such exclusivity has the consequence that each broadcaster is in a dominant position in the market segment of the sporting event where technical service providers who provide images of these events operate, and that these broadcasters exert pressure on prices, which reduces the margins of the providers, and constitutes an abuse;</w:t>
        <w:br/>
        <w:t>But considering that the large number of channels broadcasting programs, the absence of structural links between them, as well as the non-existence of identical behavior in the market, which could lead to their confusion into a single entity, does not allow them to be characterized as being in a situation of collective dominant position, within the meaning of Community case law (case Commune d’Almelo, CJEU of April 27, 1994) and French case law (C.A. September 27, 1990, lubricants of the south; C.A. July 6, 1994, jet fuel in Réunion);</w:t>
        <w:br/>
        <w:t>Considering that, even in the segment of the transmission of images of sporting events, the exclusivity that each channel tries to obtain for the broadcast of images is not sufficient in itself to conclude to a dominant position, unless one admits that there would be a relevant market for each television program on a sports subject and that sporting events are not substitutable for each other for the viewer, which is not demonstrated; that in any case, the complainant does not provide any element tending to prove the dominant position of a broadcaster in any market of the sporting event;</w:t>
        <w:br/>
        <w:t>Considering that, without a collective dominant position or a dominant position of each of the channels, even in a market segment such as that of the sporting event, there can be no abuse of dominant position; that regarding the absence of sustainable margin alleged by the complainant and which would be the consequence of an abuse attributable to the broadcasters, the examination of the file reveals, on the contrary, that it is the three service provider companies that have decided, on their own, to lower their prices and thus reduce their margins and that they are engaged in intense price competition, favored by the calls for tenders from the broadcasters; that the existence of an abuse of dominant position is therefore not demonstrated;</w:t>
      </w:r>
    </w:p>
    <w:p>
      <w:r>
        <w:t>On the allegation of abuse of economic dependence</w:t>
      </w:r>
    </w:p>
    <w:p>
      <w:r>
        <w:t>Considering that the complainant argues that the technical service providers are in a situation of economic dependence vis-à-vis the broadcasters and that this situation would result, on the one hand, from the importance of the share of turnover achieved by the providers with the "oligopoly" of broadcasters, and on the other hand, from the importance of the technical investments to be made, which would have been imposed by the broadcasters; that the abuses of this situation of economic dependence would consist, firstly, in confining the service providers to very short deadlines for responding to service requests, notably by only requesting quotes a few days before the shooting date, which would have, in particular, the effect of limiting the negotiation margin of the service providers and, secondly, in creating a precarious situation for the three service providers by systematically conducting calls for tenders; that these abuses would have led the service providers to excessively lower their prices;</w:t>
        <w:br/>
        <w:t>But considering that the broadcasters, independent of each other, do not constitute a "group" of companies within the meaning of Article L. 420-2; that it follows that the three audiovisual service provider companies cannot claim to be in a position of economic dependence with respect to the broadcasters taken as a whole;</w:t>
        <w:br/>
        <w:t>Considering, moreover, that it results from the documents submitted for examination by the Council that the situation of the providers is the consequence of internal difficulties, notably a situation of "overcapacity," linked to costly and underutilized investments, particularly for the "mobile video" activity; that no element of the file indicates that these investments would have been made at the request of the broadcasters; that the absence of sustainable margin results from price competition favored by a competitive bidding process from the broadcasters for each new service request; that furthermore, the assertion that the cost pressure exerted by the broadcasters comes from the increase in sports rights does not take into account the fact that the coverage of sporting events represents only a part of the activity of the service provider companies; that thus, the existence of a situation of economic dependence of the providers vis-à-vis each broadcaster is not established; that, moreover, the allegation regarding potential abuses of this situation is not supported by any probative element since, concerning the very short deadlines, only one example is cited, where TF1 apologizes for the deadline for submitting the quote, and that the precariousness of the situation of the providers, which is the second element cited in support of the allegation, actually originates from the fact that the broadcasters systematically conduct calls for tenders; that thus, the allegation of an abuse of economic dependence must be rejected;</w:t>
      </w:r>
    </w:p>
    <w:p>
      <w:r>
        <w:t>On the allegation of abusively low prices that may be sanctioned by Article L. 420-5 of the Commercial Code (former Article 10-1)</w:t>
      </w:r>
    </w:p>
    <w:p>
      <w:r>
        <w:t>Considering that the complainant argues that the audiovisual technical providers are forced to practice a policy of abusively low prices to be able to respond to the demand of the broadcasters and that this practice should be sanctioned by the Council;</w:t>
        <w:br/>
        <w:t>But considering that Article L. 420-5 of the Commercial Code strictly targets the case of offers of prices or pricing practices to consumers that are abusively low compared to production, transformation, and marketing costs, as long as these offers or practices have the object or may have the effect of eliminating a company or one of its products from a market or preventing it from accessing it; that this article cannot apply in this case, since the services for which an abusively low price is invoked are provided to the broadcasters and not to the final consumer; that consequently, the allegation must be dismissed;</w:t>
      </w:r>
    </w:p>
    <w:p>
      <w:r>
        <w:rPr>
          <w:b/>
        </w:rPr>
        <w:t>[Pages 4–4]</w:t>
      </w:r>
    </w:p>
    <w:p>
      <w:r>
        <w:t>Considering that it follows from all of the above that inasmuch as it targets Articles L. 420-2 and L. 420-5 of the Commercial Code, the complaint is devoid of evidentiary elements and can therefore be dismissed;</w:t>
      </w:r>
    </w:p>
    <w:p>
      <w:r>
        <w:t>On the social consequences of the alleged anti-competitive practices</w:t>
      </w:r>
    </w:p>
    <w:p>
      <w:r>
        <w:t>Considering that the complainant reports, on the one hand, the deterioration of workers' health and, on the other hand, agreements on the organization of working time that render the situation of employees precarious and deteriorate their working conditions;</w:t>
      </w:r>
    </w:p>
    <w:p>
      <w:r>
        <w:t>But considering that the complainant provides no evidence of the causal link between any anti-competitive practices and the deterioration of workers' health, the precariousness of their employment, as well as the deterioration of their working conditions; that in any case, the Council is not competent to rule on any violations of labor legislation; that the complaint must be declared inadmissible on this point;</w:t>
      </w:r>
    </w:p>
    <w:p>
      <w:r>
        <w:t>Decides</w:t>
      </w:r>
    </w:p>
    <w:p>
      <w:r>
        <w:t>Single Article - The complaint of the CFDT Radio Télé Union is declared inadmissible in that it targets violations of the Labor Code and is dismissed for the remainder.</w:t>
      </w:r>
    </w:p>
    <w:p>
      <w:r>
        <w:t>Deliberated on the oral report of Mr. Komiha, replacing Ms. Wibaux, prevented, by Ms. Hagelsteen, President, Mr. Jenny, Vice-President, and Ms. Pasturel, Vice-President.</w:t>
      </w:r>
    </w:p>
    <w:p>
      <w:r>
        <w:t>The session secretary, The President,</w:t>
        <w:br/>
        <w:t>Françoise Hazaël-Massieux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