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https://www.autoritedelaconcurrence.fr/fr/decision/relative-une-saisine-du-syndicat-francais-de-lexpress-international-sfei-et-autres</w:t>
      </w:r>
    </w:p>
    <w:p>
      <w:r>
        <w:t>Pages translated : 4</w:t>
      </w:r>
    </w:p>
    <w:p/>
    <w:p>
      <w:r>
        <w:rPr>
          <w:b/>
        </w:rPr>
        <w:t>[Pages 1–3]</w:t>
      </w:r>
    </w:p>
    <w:p>
      <w:r>
        <w:t>Decision No. 02-D-09 of February 20, 2002</w:t>
        <w:br/>
        <w:t>regarding a referral from the French Union of International Express (SFEI) and others</w:t>
        <w:br/>
        <w:t>The Competition Council (permanent commission),</w:t>
        <w:br/>
        <w:t>Considering the letter registered on December 26, 1990, under number F 369, by which the French Union of International Express (SFEI), now the French Union of Express, and eleven companies operating in the international express shipment market referred to the Competition Council, on the basis of Articles 7 and 8 of Ordinance No. 86-1243 of December 1, 1986 (now Articles L. 420-1 and L. 420-2 of the Commercial Code), concerning practices implemented by the French Ministry of Posts (La Poste), the company SOFIPOST, SFMI, and the company TAT;</w:t>
        <w:br/>
        <w:t>Considering Book IV of the Commercial Code and Decree No. 86-1309 of December 29, 1986, as amended, setting the conditions for the application of Ordinance No. 86-1243 of December 1, 1986;</w:t>
        <w:br/>
        <w:t>Considering the observations presented by the referring parties and by the Government Commissioner;</w:t>
        <w:br/>
        <w:t>The reporting member, the deputy general reporter, the Government Commissioner, and the representative of the referring parties, heard during the session of December 12, 2001;</w:t>
        <w:br/>
        <w:t>Considering that the referring parties first denounced an agreement that occurred between La Poste (acting through the company SOFIPOST) and the company TAT; they argue that this agreement, which led to the creation by these two companies of a joint subsidiary (SFMI), would also have resulted in agreements concluded during a meeting of the board of directors of SFMI on July 21, 1987, under which, on the one hand, exclusivity for the transport of expedited mail and documents was granted to SFMI, on the other hand, a segmentation between Chronopost products and Tat-Express products in the field of freight transport was decided, and finally, a consultation in the commercial approach to customers was agreed; that this agreement would fall under the provisions of Article 7 of the Ordinance of December 1, 1986, now Article L. 420-1 of the Commercial Code;</w:t>
        <w:br/>
        <w:t>Considering that the referring parties state, secondly, violations by La Poste of Article 8 of the aforementioned Ordinance, now Article L. 420-2 of the Commercial Code; they assert in this regard that La Poste, acting through its subsidiary SFMI, abusively exploits the monopoly it holds in the ordinary mail market to hinder competition in the related market of international express shipments; that by benefiting from services rendered to it by La Poste as a subcontractor and charged at an insufficient price, SFMI would practice predatory pricing in this related market;</w:t>
      </w:r>
    </w:p>
    <w:p>
      <w:r>
        <w:t>Considering that Article L. 462-7 of the Commercial Code states that "the Council cannot be seized of facts dating back more than three years if no act has been carried out tending to their investigation, establishment, or sanction"; that no investigative act was carried out regarding this referral between June 3, 1992, the date on which an investigation report conducted by the DGCCRF was received by the Competition Council, and July 10, 1995, the date on which a report of dismissal was sent to the parties;</w:t>
        <w:br/>
        <w:t>Considering that the referring parties argue, firstly, that the wording of Article L. 462-7 of the Commercial Code only concerns the period prior to the referral to the Competition Council; that, therefore, the acts interrupting the prescription referred to in this article do not concern the period following the referral and that only case law can determine the applicable prescription regime for this period; they consequently invite the Council to consider that the running of the prescription is suspended when the referring party has been rendered unable to carry out an interrupting act, as decided by the Court of Appeal in a ruling of March 9, 1999, and despite the cassation of this ruling, pronounced by a ruling of the Court of Cassation, dated July 17, 2001;</w:t>
        <w:br/>
        <w:t>But, considering, on the one hand, that in a ruling of December 1, 1995, the Court of Appeal of Paris specified that Article 27 of the Ordinance of December 1, 1986, now L. 462-7 of the Commercial Code, "(…) establishes a prescription period and defines the nature of acts that have the effect of interrupting it" and that "any prescription whose acquisition results in rendering an action inadmissible or prohibiting the sanction of a fact, begins to run again after it has been interrupted, subject to any potential cause (…) of suspension of its course (…)"; that by specifying that the running of the prescription had the effect of rendering the action inadmissible or of "prohibiting the sanction of a fact," the Court of Appeal thereby considered that the prescription regime, provided for by the provisions of the aforementioned text, applied both to the period prior to and the period following the referral to the Competition Council; that the Court of Cassation, in a ruling of July 8, 1997, rendered on the appeal filed by the Minister of Economy against this ruling, confirmed the analysis of the Court of Appeal; that therefore, the prescription can be acquired if no act tending to the investigation, establishment, or sanction of the facts denounced in the referral has been carried out after this referral;</w:t>
        <w:br/>
        <w:t>Considering, on the other hand, that the ruling of the Court of Appeal of Paris dated March 9, 1999, was cassated for violation of Article L. 462-7 of the Commercial Code;</w:t>
        <w:br/>
        <w:t>Considering that the referring parties have, secondly, argued in the session that if the Council were to find the acquisition of the prescription of the denounced practices, it would deprive them of the useful effect of the provisions of the Treaty of Rome that prohibit anticompetitive behaviors;</w:t>
        <w:br/>
        <w:t>Considering that if the Court of Justice of the European Communities stated, in a ruling of March 9, 1978, that "would be (…) incompatible with the requirements inherent in the very nature of Community law any provision of a national legal order or any legislative, administrative, or judicial practice, which would have the effect of diminishing the effectiveness of Community law by refusing the competent judge to apply this law, the power to do, at the very moment of this application, everything necessary to set aside national legislative provisions that may hinder the full effectiveness of Community standards," it should nevertheless be noted that the complainants have, in parallel to their</w:t>
      </w:r>
    </w:p>
    <w:p>
      <w:r>
        <w:t>action before the Competition Council, referred the same practices to the European Commission, on the basis of Articles 86, 90, and 92 of the Treaty of Rome (now Articles 82, 86, and 87, respectively), and that these cases are under investigation by the Commission; therefore, in any event, the finding of the prescription of the facts of the case contested before the Council, insofar as they only contravene national law provisions, would not deprive Community law of its useful effect;</w:t>
        <w:br/>
        <w:t>Considering that the referring parties argue, thirdly, that the denounced practices have a continuous nature and cannot be affected by prescription, as they maintain their object and anticompetitive effects; they cite in this regard the free transfer to SFMI of La Poste's brand image and the provision of La Poste's network without the corresponding payment of an economically justified remuneration;</w:t>
        <w:br/>
        <w:t>Considering that the procedure followed in competition matters, which aims to protect the economic public order and has a punitive character with respect to the companies involved, can be likened to criminal procedure regarding the prosecution of offenses; that a consistent case law considers that if for offenses of an instantaneous nature the starting point of the prescription is the day after the constitutive act of the offense, on the other hand, the prescription of continuous offenses only begins to run the day after the day on which the infringing behavior ceased; that case law further distinguishes between permanent continuous offenses, which are offenses consummated in a single act, but whose effects and results extend over time and whose prescription regime is that of instantaneous offenses, and successive continuous offenses, characterized by the reiteration of the infringing will over time and whose prescription regime is that of continuous offenses; that the Court of Appeal of Paris in a ruling of January 29, 2002, specified that "(…) if a meeting of wills occurred during the prescribed period and continued to be applied during the three years preceding the referral to the Council, the anticompetitive effects resulting from it during the non-prescribed time can be sanctioned";</w:t>
        <w:br/>
        <w:t>Considering that in this case, the offense that could be constituted by the creation of SFMI would be an offense that was consummated on the day of the creation of this company, but whose effects have extended over time; that therefore, the applicable prescription regime is that of instantaneous offenses; that this company having been established on September 10, 1985, the prescription period began to run the day after that date; that no act having been carried out between this date and December 26, 1990, the date of registration of the referral letter to the Council, the denounced fact is prescribed;</w:t>
        <w:br/>
        <w:t>Considering, on the other hand, that this act may have produced effects in a non-prescribed time, but that the Council does not have, at this stage of the procedure, any element in this regard;</w:t>
        <w:br/>
        <w:t>Considering, regarding the other practices mentioned in the referral, that at the current stage of the investigation, the Council is not in a position to determine whether they are identified with the creation of SFMI or whether they are distinct practices; that, in the event that they are distinct, it does not have the elements allowing it to determine whether and how the practices have extended over time; that it is therefore not in a position to rule on whether these practices are affected by prescription or not and that it is consequently appropriate to refer the matter for further investigation;</w:t>
      </w:r>
    </w:p>
    <w:p>
      <w:r>
        <w:rPr>
          <w:b/>
        </w:rPr>
        <w:t>[Pages 4–4]</w:t>
      </w:r>
    </w:p>
    <w:p>
      <w:r>
        <w:t xml:space="preserve">DECIDES  </w:t>
        <w:br/>
        <w:t xml:space="preserve">Article 1 - The referral is inadmissible insofar as it concerns the act of creation of the SFMI;  </w:t>
        <w:br/>
        <w:t xml:space="preserve">Article 2 - For the remainder, the referral F 369 is referred for investigation;  </w:t>
        <w:br/>
        <w:t xml:space="preserve">Deliberated on the report of Mr. Arhel and Ms. Tourjansky, by Ms. Hagelsteen, President, Ms. Pasturel, Vice-President, and Mr. Jenny, Vice-President.  </w:t>
        <w:br/>
        <w:t xml:space="preserve">The session secretary The president  </w:t>
        <w:br/>
        <w:t xml:space="preserve">Françoise Hazaël-Massieux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