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https://www.autoritedelaconcurrence.fr/fr/decision/relative-une-saisine-du-syndicat-intercommunal-delectrification-de-bargemon</w:t>
      </w:r>
    </w:p>
    <w:p>
      <w:r>
        <w:t>Pages translated : 3</w:t>
      </w:r>
    </w:p>
    <w:p/>
    <w:p>
      <w:r>
        <w:rPr>
          <w:b/>
        </w:rPr>
        <w:t>[Pages 1–3]</w:t>
      </w:r>
    </w:p>
    <w:p>
      <w:r>
        <w:t>Decision No. 02-D-27 of April 9, 2002</w:t>
        <w:br/>
        <w:t>regarding a referral from the inter-municipal syndicate</w:t>
        <w:br/>
        <w:t>for electrification of Bargemon</w:t>
        <w:br/>
        <w:t>The Competition Council (permanent commission),</w:t>
        <w:br/>
        <w:t>Having regard to the letter registered on July 17, 2000, under number F 1253, by which the inter-municipal syndicate for electrification of Bargemon referred to the Competition Council, on the basis of Article L. 462-5 of the Commercial Code, practices of abuse of dominant position that would be implemented by the company EDF;</w:t>
        <w:br/>
        <w:t>Having regard to Book IV of the Commercial Code and Decree No. 86-1309 of December 29, 1986, as amended, setting the conditions for the application of Ordinance No. 86-1243 of December 1, 1986;</w:t>
        <w:br/>
        <w:t>Having regard to the other documents in the file;</w:t>
        <w:br/>
        <w:t>The reporting member, the deputy general reporter, the Government Commissioner, heard during the session of March 5, 2002, the president of the inter-municipal syndicate for electrification of Bargemon having been regularly summoned;</w:t>
        <w:br/>
        <w:t>Considering that, by letter of July 17, 2000, the president of the inter-municipal syndicate for electrification (SIE) of Bargemon has, on behalf of this syndicate, referred to the Competition Council practices of abuse of dominant position that would be implemented by EDF during the negotiation of concession contracts for the distribution of electrical energy;</w:t>
        <w:br/>
        <w:t>Considering that Article L. 462-5 of the Commercial Code provides that "the Competition Council may be seized by the minister responsible for the economy of any practice mentioned in Articles L. 420-1, L. 420-2 and L. 420-5. It may act ex officio or be seized by companies or, for any matter concerning the interests for which they are responsible, by the bodies referred to in the second paragraph of Article L. 462-1"; that the second paragraph of Article L. 462-1 states that the Competition Council may give its opinion on any competition issue at the request "(…) of local authorities, professional and trade union organizations, approved consumer organizations, chambers of agriculture, chambers of trades or chambers of commerce and industry (…)";</w:t>
        <w:br/>
        <w:t>Considering that in the session, the Government Commissioner argued that the inter-municipal syndicate for electrification was not a local authority and that it consequently did not have the standing to refer to the Competition Council within the meaning of the provisions of Articles L. 462-1 and L. 462-5, cited above, which are of strict interpretation;</w:t>
        <w:br/>
        <w:t>But, considering that Article L. 5212-1 of the General Code of Local Authorities specifies that "the municipal syndicate is a public establishment of inter-municipal cooperation associating municipalities for the purpose of works or services of inter-municipal interest"; Considering, furthermore, that Article 17 of Law No. 2000-108 of February 10, 2000, relating to the modernization and development of the public electricity service, provides that for distribution, local authorities retain their granting power; that Article L. 2224-31 of the General Code of Local Authorities is thus drafted: "(…) - I. Without prejudice to the provisions of Article 23 of Law No. 46-628 of April 8, 1946, on the nationalization of electricity and gas, local authorities or their public cooperation establishments, as granting authorities for the public distribution of electricity in application of Article 6 of the Law of June 15, 1906, on energy distributions and Article 36 of Law No. 46-628 of April 8, 1946, negotiate and conclude concession contracts, and exercise control over the proper performance of public service missions set, as far as the granting authorities are concerned, by the specifications of these concessions (…)"; it follows from these provisions that in as much as it carries out the activities delegated to it by the municipalities associated with it, an inter-municipal syndicate for electrification must be considered as a local authority within the meaning of Article L. 462-2 of the Commercial Code and therefore has the competence to refer, concerning the interests for which it is responsible, to the Competition Council; that by deliberation of June 13, 2000, the syndicate council "charged the president to refer to the Competition Council"; that the Competition Council is thus validly seized;</w:t>
        <w:br/>
        <w:t>Considering that Article L. 462-8 of the Commercial Code, in its wording resulting from Law No. 2001-420 of May 15, 2001, states in its second paragraph that the Competition Council "may also reject the referral by reasoned decision when it considers that the facts invoked are not supported by sufficiently probative elements";</w:t>
        <w:br/>
        <w:t>Considering that, within the framework of its referral, the inter-municipal syndicate for electrification of Bargemon limits itself to invoking EDF's refusal to negotiate the concession contract for the network and indicates that it contests its duration as well as the method of calculating the fee; that it does not provide any material element allowing to think that a practice of abuse of dominant position, prohibited by the provisions of Article L. 420-2 of the Commercial Code, would, in this case, be implemented by EDF;</w:t>
        <w:br/>
        <w:t>Considering that it follows from the above that in the absence of sufficiently probative elements supporting the facts invoked in the referral, it is necessary to apply the provisions of Article L. 462-8, paragraph 2, of the aforementioned Commercial Code;</w:t>
        <w:br/>
        <w:t>DECIDES</w:t>
        <w:br/>
        <w:t>Sole Article - The referral registered under number F 1253 is rejected.</w:t>
        <w:br/>
        <w:t>Deliberated on the oral report of Ms. Bleys, by Ms. Hagelsteen, president, Messrs. Jenny and Nasse, vice-presidents.</w:t>
      </w:r>
    </w:p>
    <w:p>
      <w:r>
        <w:t>The session secretary The president</w:t>
        <w:br/>
        <w:t>Françoise Hazaël-Massieux Marie-Dominique Hagelsteen</w:t>
        <w:br/>
        <w:t>Ó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