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https://www.autoritedelaconcurrence.fr/fr/decision/relative-une-saisine-du-syndicat-national-des-discotheques-et-divers-exploitants-de</w:t>
      </w:r>
    </w:p>
    <w:p>
      <w:r>
        <w:t>Pages translated : 3</w:t>
      </w:r>
    </w:p>
    <w:p/>
    <w:p>
      <w:r>
        <w:rPr>
          <w:b/>
        </w:rPr>
        <w:t>[Pages 1–3]</w:t>
      </w:r>
    </w:p>
    <w:p>
      <w:r>
        <w:t xml:space="preserve">COMPETITION COUNCIL  </w:t>
        <w:br/>
        <w:t xml:space="preserve">Decision No. 97 D 75  </w:t>
        <w:br/>
        <w:t xml:space="preserve">of October 21, 1997  </w:t>
        <w:br/>
        <w:t>regarding a complaint from the National Union of Nightclubs and various nightclub operators and unions</w:t>
      </w:r>
    </w:p>
    <w:p>
      <w:r>
        <w:t xml:space="preserve">The Competition Council (Section I),  </w:t>
        <w:br/>
        <w:t xml:space="preserve">Having regard to the letter registered on October 12, 1990, under number F 354, by which the National Union of Nightclubs (Syndis), the companies Solonoc, Deschamps, Société Générale de la Ferme, Loisirs en Armagnac, Djinn Club, as well as Messrs. Gérard Basset and Jean Nouguès, nightclub operators, referred to the Competition Council regarding the practices of the Société des auteurs compositeurs et éditeurs de musique (SACEM), the Société pour l'exploitation du droit de représentation mécanique (SDRM), the Association pour la gestion de la sécurité sociale des auteurs (AGESSA), the Société civile pour l'exploitation des droits des producteurs phonographiques, the Société civile des producteurs de phonogrammes en France, the Société civile des producteurs associés, the Société pour l'administration des droits des artistes et musiciens interprètes, the Société de perception et de répartition des droits des artistes musiciens interprètes et exécutants, the Société pour la rémunération équitable de la communication au public des phonogrammes du commerce (SPRE), the companies Colombia Broadcasting Society (CBS), Bertelsmann Music Group (BMG), Ariola France, Emi Pathé Marconi, Polygram, Virgin France, Warner Electra Atlantic Music (W E A), the National Union of Phonographic Editions, the Union of Artistic Cabarets, Live Performance Venues and Nightclubs of France, the French Confederation of Hoteliers, Restaurateurs, Cafés and Nightclubs, the Autonomous Federation of the Tourist Hotel Industry, the National Federation of the Hotel Industry, and the National Union of Nightclubs and Leisure Venues;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by the National Union of Nightclubs (Syndis), the companies Solonoc, Deschamps, Société Générale de la Ferme, Loisirs en Armagnac, Djinn Club, as well as La Playa and Roll's Club succeeding to the rights of Messrs. Gérard Basset and Jean Nouguès;  </w:t>
        <w:br/>
        <w:t xml:space="preserve">Having regard to the other documents in the file;  </w:t>
        <w:br/>
        <w:t xml:space="preserve">The rapporteur, the general rapporteur, the Government Commissioner, and the representatives of the companies La Playa and Société Générale de la Ferme having been heard, the other parties having been duly summoned;  </w:t>
        <w:br/>
        <w:t>Adopts the decision based on the findings (I) and the reasons (II) set out below:</w:t>
      </w:r>
    </w:p>
    <w:p>
      <w:r>
        <w:t xml:space="preserve">exhibits:  </w:t>
        <w:br/>
        <w:t xml:space="preserve">I. Findings  </w:t>
        <w:br/>
        <w:t xml:space="preserve">By letter dated October 12, 1990, Mr. Jourdren submitted a complaint to the Competition Council on behalf of the companies Solonoc, Deschamps, Société Générale de la Ferme, Loisirs en Armagnac, Djinn Club, the National Union of Nightclubs (Syndis), as well as Messrs. Gérard Basset and Jean Nouguès, nightclub operators, against SACEM and others.  </w:t>
        <w:br/>
        <w:t>The complainants argue that SACEM refused to grant the use of the repertoire by justifying the fee schedule it applies for the public performance of phonograms, which would constitute an abuse of economic dependence within the meaning of paragraph 2 of Article 8 of the ordinance of December 1, 1986. They further allege that certain producers of musical works have colluded "by refusing to provide the market with the necessary transparency to artificially maintain an inexplicably high price gap" compared to those practiced in neighboring countries. Finally, the tariff agreements made between the unions of nightclubs and SACEM on one hand and SPRE on the other hand would constitute a prohibited agreement under the provisions of paragraph 2 of Article 7 of the ordinance of December 1, 1986.</w:t>
      </w:r>
    </w:p>
    <w:p>
      <w:r>
        <w:t xml:space="preserve">II. Based on the findings above, the Council,  </w:t>
        <w:br/>
        <w:t xml:space="preserve">On the prescription:  </w:t>
        <w:br/>
        <w:t xml:space="preserve">Considering, first, that the complainants argue that "abuse of dependence as well as the collusions complained of by the nightclubs are not instantaneous offenses but continuous successive offenses caused by repeated acts of will" and that they "continue as long as the exploitation of illegal tariffs lasts"; they deduce that, insofar as "the starting point of the prescription is the day when the unlawful activity ceased," the prescription cannot be acquired as long as "these companies maintain these tariffs by successive acts of will";  </w:t>
        <w:br/>
        <w:t xml:space="preserve">But considering that, under Article 27 of the ordinance of December 1, 1986: "The Council cannot be seized of facts dating back more than three years if no act has been made to seek, establish or sanction them"; that the Court of Appeal of Paris, in a judgment of December 1, 1995 (société l'Entreprise Industrielle, 1st chamber, competition section, judgment No. 95/3245), confirmed by the Court of Cassation (commercial, financial and economic chamber, judgment No. 1848 P of July 8, 1997) decided that: "This text establishes a limitation period and defines the nature of acts that have the effect of interrupting it; (...) that any prescription whose acquisition results in rendering an action inadmissible or prohibiting the sanction of a fact begins to run after it has been interrupted, subject to a possible cause (...) for suspension of its course"; that the complainants argue, on one hand, that SACEM refused to justify the reproduction fee schedules it proposes, on the other hand, that the "producers" of phonograms colluded to "artificially maintain an inexplicably high price gap," and finally, that the tariff agreements made between SACEM and certain professional unions would constitute prohibited collusions; that the complaint targets the schedules and agreements in force at the time it was filed, whereas it is established that these schedules were modified in January 1992; that it cannot therefore be usefully argued that these practices are continuous;  </w:t>
        <w:br/>
        <w:t xml:space="preserve">Considering, secondly, that the complainants argue that "the referral to the Council has, for them, a suspensive effect on the prescription"; that they draw this consequence from the transposition to competition procedural law of a ruling by the criminal chamber of the Court of Cassation according to which the prescription is suspended in favor of "the civil party" when it "has no legal means to compel the investigating judge to perform an act interrupting the prescription of the public action" (Cass. crim. January 27, 1986, B C No. 33);  </w:t>
        <w:br/>
        <w:t xml:space="preserve">But considering that, on one hand, the ordinance of December 1, 1986 does not provide for any case of suspension of the course of the prescription before the Council; that, on the other hand, the reference to the case law of the Court of Cassation is ineffective in that the person who refers to the Council cannot be assimilated to a civil party, as the Council is an independent administrative authority responsible for the protection of the economic public order and is not competent to compensate for the damage suffered by the complainants; that finally, the complainants could obtain compensation for the damage suffered due to the practice denounced before civil or commercial courts;  </w:t>
        <w:br/>
        <w:t xml:space="preserve">Considering that it follows from the above that in the absence of an interrupting act, the prescription was acquired regarding the facts denounced in the complaint as of January 1, 1995; that it is therefore necessary to apply the provisions of Article 20 of the ordinance of December 1, 1986,  </w:t>
        <w:br/>
        <w:t xml:space="preserve">DECIDES:  </w:t>
        <w:br/>
        <w:t xml:space="preserve">Sole Article. There is no need to continue the procedure.  </w:t>
        <w:br/>
        <w:t xml:space="preserve">Deliberated, on the report of Mr. Loïc Guérin, by Mr. Cortesse, Vice President, presiding over the session, Messrs. Bon, Callu, Ms. Hagelsteen, Messrs. Marleix and Thiolon, members.  </w:t>
        <w:br/>
        <w:t xml:space="preserve">The general rapporteur, The vice president presiding over the session,  </w:t>
        <w:br/>
        <w:t xml:space="preserve">The general rapporteur, The vice president,  </w:t>
        <w:br/>
        <w:t xml:space="preserve">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