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https://www.autoritedelaconcurrence.fr/fr/decision/relative-une-saisine-du-syndicat-national-des-professions-du-tourisme</w:t>
      </w:r>
    </w:p>
    <w:p>
      <w:r>
        <w:t>Pages translated : 2</w:t>
      </w:r>
    </w:p>
    <w:p/>
    <w:p>
      <w:r>
        <w:rPr>
          <w:b/>
        </w:rPr>
        <w:t>[Pages 1–2]</w:t>
      </w:r>
    </w:p>
    <w:p>
      <w:r>
        <w:t xml:space="preserve">COUNCIL OF COMPETITION  </w:t>
        <w:br/>
        <w:t xml:space="preserve">Decision No. 01-D-37 of June 28, 2001  </w:t>
        <w:br/>
        <w:t xml:space="preserve">regarding a referral by the National Union of Tourism Professions  </w:t>
        <w:br/>
        <w:t xml:space="preserve">The Competition Council (standing committee),  </w:t>
        <w:br/>
        <w:t xml:space="preserve">Having regard to the letter registered on July 28, 2000, under number F 1258, by which the National Union of Tourism Professions referred to the Competition Council discriminatory practices favoring licensed speakers by a legal entity of public law;  </w:t>
        <w:br/>
        <w:t xml:space="preserve">Having regard to the letter registered on March 28, 2001, by which the National Union of Tourism Professions indicated a partial withdrawal of its referral;  </w:t>
        <w:br/>
        <w:t xml:space="preserve">Having regard to Book IV of the Commercial Code and Decree No. 86-1309 of December 29, 1986, as amended, adopted for the application of Ordinance No. 86-1243 of December 1, 1986;  </w:t>
        <w:br/>
        <w:t xml:space="preserve">Having regard to Law No. 92-645 of July 13, 1992, regarding the organization and sale of travel or stays;  </w:t>
        <w:br/>
        <w:t xml:space="preserve">Having regard to the General Tax Code;  </w:t>
        <w:br/>
        <w:t xml:space="preserve">Having regard to Decree No. 94-490 of June 15, 1994, adopted for the application of Article 31 of Law No. 92-645 of July 13, 1992, setting the conditions for the exercise of activities related to the organization and sale of travel and stays;  </w:t>
        <w:br/>
        <w:t xml:space="preserve">Having regard to the other documents in the file;  </w:t>
        <w:br/>
        <w:t xml:space="preserve">The rapporteur, the deputy general rapporteur, and the Government Commissioner heard during the session of April 11, 2001, the National Union of Tourism Professions having been duly summoned;  </w:t>
        <w:br/>
        <w:t xml:space="preserve">Considering that, by a first letter registered on July 28, 2000, the vice-president of the National Union of Tourism Professions for interpreter-guides and speakers referred to the Council the principles governing the value-added tax (VAT), which would favor legal entities of public law operating museums and historical monuments and, consequently, the activities related to the visit of these sites, to the detriment of the activities carried out by national speakers and interpreter-guides within the framework of private operations; it argues, in this regard, that under the provisions of Article 256 B of the General Tax Code "legal entities of public law are not subject to value-added tax for the activity of their administrative, social, educational, cultural, and sports services when their non-subjection does not lead to distortions in the conditions of competition," whereas guides and speakers who do not carry out their activity for a legal entity of public law are subject to VAT at the rate of 19.6%; it would result, according to the referring party, in a distortion in the conditions of competition;  </w:t>
        <w:br/>
        <w:t xml:space="preserve">Considering that, by a second letter dated March 28, 2001, the Union indicated that it intended to withdraw its referral concerning the activities of national speakers and interpreter-guides exercising their activity within public law establishments; it states, in this regard, that certain public industrial and commercial establishments have wrongly placed themselves outside the scope of VAT by not charging this tax on visit-conferences, whereas the collaborators they employ fall under a private law regime; it argues that this particular tax treatment, for activities that are not significantly dissimilar, constitutes an anti-competitive practice established in favor of the speakers and interpreter-guides working for these establishments and requests the Council to put an end to it by deciding either the non-subjection to VAT of all these professionals, or the subjection of all to the rate of 5.5%;  </w:t>
        <w:br/>
        <w:t xml:space="preserve">Considering that the distinction made by the referring party in its letter of March 28, 2001, between legal entities of public law and public establishments of an industrial and commercial nature is ineffective, insofar as such public establishments are legal entities of public law; that Article 259 B of the General Tax Code refers to legal entities of public law without distinction of status and, in particular, does not establish a difference depending on whether it is a public establishment of an administrative or industrial and commercial nature;  </w:t>
        <w:br/>
        <w:t xml:space="preserve">Considering that under the terms of Article L. 462-8 of the Commercial Code: "The Competition Council may declare, by reasoned decision, the referral inadmissible if it considers that the facts invoked do not fall within the scope of its competence or are not supported by sufficiently probative elements"; that in this case, the referring Union contests the provisions of Article 256 B of the General Tax Code and the application that would be made, wrongly, by certain public industrial and commercial establishments operating museums or historical monuments; that it does not fall to the Council to rule on the application made of tax provisions; that it does not allege and, a fortiori, does not provide any element allowing one to think that anti-competitive collusion or abuse of a dominant position practices falling within the scope of Articles L. 420-1 or L. 420-2 of the Commercial Code would, in this case, be implemented; that consequently, it is necessary to apply the provisions of Article L. 462-8 of the Commercial Code and declare the request inadmissible,  </w:t>
        <w:br/>
        <w:t xml:space="preserve">Decides:  </w:t>
        <w:br/>
        <w:t xml:space="preserve">Sole Article.- The referral registered under number F 1258 is declared inadmissible.  </w:t>
        <w:br/>
        <w:t xml:space="preserve">Deliberated, on the oral report of Ms. Chaulet-Philippe, by Ms. Hagelsteen, president, Mr. Cortesse, vice-president, Mr. Robin, member, in replacement of Mr. Jenny, vice-president, prevented.  </w:t>
        <w:br/>
        <w:t xml:space="preserve">The session secretary, The president,  </w:t>
        <w:br/>
        <w:t xml:space="preserve">Françoise Hazaël-Massieux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