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https://www.autoritedelaconcurrence.fr/fr/decision/relative-une-saisine-emanant-de-la-societe-diavet-pouchol-adnot</w:t>
      </w:r>
    </w:p>
    <w:p>
      <w:r>
        <w:t>Pages translated : 4</w:t>
      </w:r>
    </w:p>
    <w:p/>
    <w:p>
      <w:r>
        <w:rPr>
          <w:b/>
        </w:rPr>
        <w:t>[Pages 1–3]</w:t>
      </w:r>
    </w:p>
    <w:p>
      <w:r>
        <w:t xml:space="preserve">FRENCH REPUBLIC  </w:t>
        <w:br/>
        <w:t xml:space="preserve">Decision No. 92-D-42 of June 23, 1992  </w:t>
        <w:br/>
        <w:t xml:space="preserve">concerning a referral from the company Diavet-Pouchol-Adnot  </w:t>
        <w:br/>
        <w:t xml:space="preserve">The Competition Council (section 1),  </w:t>
        <w:br/>
        <w:t xml:space="preserve">Having regard to the letter registered on February 12, 1991, by which the company Diavet-Pouchol-Adnot referred the Competition Council regarding practices of the company Romelot and the company Pompes funèbres générales that it believes are likely to distort competition among the marble workers of Neuilly-sur-Seine (Hauts-de-Seine);  </w:t>
        <w:br/>
        <w:t xml:space="preserve">Having regard to Ordinance No. 86-1243 of December 1, 1986, concerning price and competition freedom, as amended, together with Decree No. 86-1309 of December 29, 1986, as amended, taken for its application;  </w:t>
        <w:br/>
        <w:t xml:space="preserve">Having regard to the judgment of the Court of Justice of the European Communities of May 4, 1988;  </w:t>
        <w:br/>
        <w:t xml:space="preserve">Having regard to the judgment of the Court of Cassation of June 4, 1991 (Doyen and others v. Société de pompes funèbres des régions libérées);  </w:t>
        <w:br/>
        <w:t xml:space="preserve">Having regard to the observations of Government commissioners;  </w:t>
        <w:br/>
        <w:t xml:space="preserve">Having regard to the other documents in the file;  </w:t>
        <w:br/>
        <w:t xml:space="preserve">The rapporteur, the general rapporteur, and the Government commissioner heard;  </w:t>
        <w:br/>
        <w:t xml:space="preserve">Adopts the decision based on the findings (I) and the reasons (II) set out below.  </w:t>
        <w:br/>
        <w:t xml:space="preserve">I. - FINDINGS  </w:t>
        <w:br/>
        <w:t xml:space="preserve">1. General characteristics of the concerned markets  </w:t>
        <w:br/>
        <w:t xml:space="preserve">The funeral services include:  </w:t>
        <w:br/>
        <w:t xml:space="preserve">- an internal service, corresponding to cultural services;  </w:t>
        <w:br/>
        <w:t xml:space="preserve">- an external service, which exclusively belongs to municipalities as a public service under Article L. 362-1 of the Municipal Code and which encompasses the essential supplies for any burial;  </w:t>
        <w:br/>
        <w:t>- and a so-called 'free' service related to ancillary services left to the initiative of families and provided by so-called 'third-party' professions.</w:t>
      </w:r>
    </w:p>
    <w:p>
      <w:r>
        <w:t xml:space="preserve">In the aforementioned decisions, the Court of Justice of the European Communities considered that the market for external service provisions must be defined as that of concessions granted by municipalities, and the Court of Cassation applied this interpretation by confirming that in France, the group Pompes funèbres générales holds a dominant position, which must be verified through a concrete assessment of the factual elements to ensure it is not being abused. The funeral masonry market covers the supply, installation, and maintenance of vaults, monuments, and tombs constructed on the concessions that municipalities grant in their cemeteries to individuals who wish to have a place to establish their burial, as well as the work of opening and closing these funeral monuments during burials or exhumations. Regarding the services of the free service, families holding a concession legally have the option to contact the marble worker of their choice to carry out operations related to their funeral monuments; however, they often entrust this task to the services or companies concessioned for funeral services within the framework of organizing the entire funeral: thus, there exists a connection between the funeral masonry market and that of external service provisions.  </w:t>
        <w:br/>
        <w:t xml:space="preserve">2. Local conditions  </w:t>
        <w:br/>
        <w:t xml:space="preserve">The city of Neuilly-sur-Seine has two cemeteries:  </w:t>
        <w:br/>
        <w:t xml:space="preserve">- the first, known as the 'old cemetery,' is located on municipal territory; it has 6,000 plots and is preferred by residents;  </w:t>
        <w:br/>
        <w:t xml:space="preserve">- the second, known as the 'new cemetery,' is located in Nanterre; it has 15,000 plots.  </w:t>
        <w:br/>
        <w:t xml:space="preserve">The number of burials in the municipality has decreased from 520 in 1987 to 419 in 1991; until 1990, the number of new concession grants leading to the installation of monuments followed the same trend (from 77 to 55), but in 1991 the municipality undertook a significant recovery of abandoned concessions, and 80 monuments were installed.  </w:t>
        <w:br/>
        <w:t>By a six-year contract effective from January 1, 1987, the municipality of Neuilly-sur-Seine granted its monopoly of the external service to the company Pompes funèbres générales. The company operating under its own name, Romelot, whose practices are denounced in the referral, and the S.A.R.L. Diavet-Pouchol-Adnot, which filed this referral, together carry out approximately 90% of the funeral masonry work in the cemeteries of Neuilly. Only the company Romelot operates in both cemeteries: over the past five years, it has completed 64.2% of the monument installations across both cemeteries, including 86.6% of those in the old cemetery and 58.8% of those in the new cemetery; on the other hand, the company Diavet-Pouchol-Adnot is only established at the new cemetery where it limits its activity: during the same period, it has completed 29.7% of the installations in this cemetery, which represents 24% of the total installations.</w:t>
      </w:r>
    </w:p>
    <w:p>
      <w:r>
        <w:t xml:space="preserve">These two companies never operate in the cemeteries of neighboring municipalities even though their facilities in Nanterre are located in the immediate vicinity of the cemeteries of Puteaux and Courbevoie.  </w:t>
        <w:br/>
        <w:t xml:space="preserve">3. The reported practices  </w:t>
        <w:br/>
        <w:t xml:space="preserve">The company Diavet-Pouchol-Adnot claims that it has not been referred any clients for three years by the Pompes funèbres générales agency, which allegedly favors the company Romelot in this regard. According to the referral, this situation results from an agreement leading notably to the payment of 'hidden compensations.'  </w:t>
        <w:br/>
        <w:t xml:space="preserve">The investigation did not reveal any explicit agreement linking the Pompes funèbres générales agency and the company Romelot or any marble company, nor any payment of compensations.  </w:t>
        <w:br/>
        <w:t xml:space="preserve">However, it was found that, in the premises of the company Pompes funèbres générales, a wall display visibly indicated the existence of 'Maison Pouchol-Diavet-Adnot' and 'Maison Romelot,' that the documents given to families included a brochure equally highlighting the existence of both companies, and that the agency kept a register available to the public indicating the prices of the masonry work carried out by these two companies.  </w:t>
        <w:br/>
        <w:t xml:space="preserve">Contrary to the claims of the referral, it was noted that at least nineteen clients of the Pompes funèbres générales company had entrusted their monument installation work to the company Diavet-Pouchol-Adnot over the past five years.  </w:t>
        <w:br/>
        <w:t xml:space="preserve">Furthermore, the number of new concession grants is not stable: at the new cemetery, where the activity of the referral's author is limited, this number decreased from 100 in 1991 to 77, then 73, 69, and 51 in the following four years.  </w:t>
        <w:br/>
        <w:t xml:space="preserve">When possible, the comparison of the prices of the two companies always reveals a disadvantageous gap for the company Diavet-Pouchol-Adnot: for the four categories of vaults, the prices it offers are higher than those of the company Romelot by 0.5% to 7%, while it does not have a price list for tombstones, unlike its competitor.  </w:t>
        <w:br/>
        <w:t xml:space="preserve">Finally, it appeared that the company Diavet-Pouchol-Adnot allocated a budget for advertising approximately three times smaller than that of the company Romelot.  </w:t>
        <w:br/>
        <w:t xml:space="preserve">II. - BASED ON THE FINDINGS ABOVE, THE COMPETITION COUNCIL  </w:t>
        <w:br/>
        <w:t xml:space="preserve">On the procedure:  </w:t>
        <w:br/>
        <w:t>Considering that under Article 20 of the ordinance of December 1, 1986, 'the Competition Council may decide after the author of the referral and the Government commissioner have been given the opportunity to consult the file and present their observations that there is no need to continue the procedure';</w:t>
      </w:r>
    </w:p>
    <w:p>
      <w:r>
        <w:rPr>
          <w:b/>
        </w:rPr>
        <w:t>[Pages 4–4]</w:t>
      </w:r>
    </w:p>
    <w:p>
      <w:r>
        <w:t>Considering that the complainant did not submit any observations following the proposal for non-prosecution that was duly notified to them;</w:t>
      </w:r>
    </w:p>
    <w:p>
      <w:r>
        <w:t>On the merits:</w:t>
        <w:br/>
        <w:t>Considering, firstly, that the investigation did not establish the existence, between the company Pompes funèbres générales and the company Romelot, of coordinated practices aimed at or capable of distorting competition in the funeral masonry market, particularly by limiting access for the company Diavet-Pouchol-Adnot;</w:t>
      </w:r>
    </w:p>
    <w:p>
      <w:r>
        <w:t>Considering, secondly, that the investigation also did not establish any abusive exploitation of the dominant position held by the company Pompes funèbres générales in the market for external service provisions, particularly through practices of client diversion in the related market of funeral masonry in the Nanterre district to the detriment of the company Diavet-Pouchol-Adnot,</w:t>
      </w:r>
    </w:p>
    <w:p>
      <w:r>
        <w:t>Decides:</w:t>
        <w:br/>
        <w:t>Single Article. - There is no need to continue the proceedings.</w:t>
        <w:br/>
        <w:t>Adopted on June 23, 1992, by Mr. Béteille, Vice-President, Messrs. Bon, Fries, Ms. Lorenceau, and Mr. Sloan, members, on the written report of Mr. Bernard Thouvenot presented by Mr. Jean-René Bourhis, session rapporteur.</w:t>
        <w:br/>
        <w:t>The General Rapporteur, The Vice-President, presiding over the session,</w:t>
        <w:br/>
        <w:t>F. Jenny R. Béteille</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