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https://www.autoritedelaconcurrence.fr/fr/decision/relative-une-saisine-emanant-de-la-societe-dupuis</w:t>
      </w:r>
    </w:p>
    <w:p>
      <w:r>
        <w:t>Pages translated : 2</w:t>
      </w:r>
    </w:p>
    <w:p/>
    <w:p>
      <w:r>
        <w:rPr>
          <w:b/>
        </w:rPr>
        <w:t>[Pages 1–2]</w:t>
      </w:r>
    </w:p>
    <w:p>
      <w:r>
        <w:t xml:space="preserve">FRENCH REPUBLIC  </w:t>
        <w:br/>
        <w:t xml:space="preserve">Decision No. 90-D-05 of January 9, 1990  </w:t>
        <w:br/>
        <w:t xml:space="preserve">concerning a referral from the company Dupuis  </w:t>
        <w:br/>
        <w:t xml:space="preserve">The Competition Council,  </w:t>
        <w:br/>
        <w:t xml:space="preserve">Having regard to the letter registered on June 5, 1989, under number F 249 by which the company Dupuis referred to the Competition Council regarding anti-competitive practices allegedly implemented by the company Poggenpohl-France;  </w:t>
        <w:br/>
        <w:t xml:space="preserve">Having regard to Ordinance No. 86-1243 of December 1, 1986, as amended, relating to the freedom of prices and competition, together with Decree No. 86-1309 of December 29, 1986, as amended, adopted for its application;  </w:t>
        <w:br/>
        <w:t xml:space="preserve">Having regard to the observations of the Government Commissioner;  </w:t>
        <w:br/>
        <w:t xml:space="preserve">The rapporteur, the general rapporteur, and the Government Commissioner having been heard, the company Dupuis having been duly summoned;  </w:t>
        <w:br/>
        <w:t xml:space="preserve">Considering that the company Dupuis, which engages in the sale of household goods, referred to the Competition Council regarding anti-competitive practices implemented by the company Poggenpohl-France, its supplier of modular kitchen and bathroom furniture, which would be characterized by "a refusal to sell accompanied by unfair competition," itself exercised for the benefit of a newly established company, Concept-RL;  </w:t>
        <w:br/>
        <w:t xml:space="preserve">Considering that under Article 19 of the aforementioned ordinance, the Competition Council may declare, by reasoned decision, the referral inadmissible if it considers that the facts invoked do not fall within its jurisdiction or are not supported by sufficiently probative elements;  </w:t>
        <w:br/>
        <w:t xml:space="preserve">Considering that it follows from the documents in the file that, until the end of 1988, the company Dupuis was the sole distributor, in its trading area, of Poggenpohl and Goldreif products, imported by the company Poggenpohl-France; that however, due to the significant decrease in purchases by its client in 1988, the latter decided to cease selling its products to it, while entrusting their exclusive sale to the newly established company Concept-RL;  </w:t>
        <w:br/>
        <w:t>Considering that, while the unilateral termination of commercial relations by a supplier may engage the liability of its author before the civil or commercial judge on the basis of Article 36 of the aforementioned ordinance, such behavior falls within the jurisdiction of the Competition Council only to the extent that it is linked to a concerted action of an anti-competitive nature or to the abusive exploitation of a dominant position or an economic dependency situation;</w:t>
      </w:r>
    </w:p>
    <w:p>
      <w:r>
        <w:t xml:space="preserve">Considering that the company Dupuis provides no evidence to establish that the aforementioned concession agreement results from an agreement aimed at or capable of distorting competition in the market;  </w:t>
        <w:br/>
        <w:t xml:space="preserve">Considering that the company Dupuis relies on the statements of one of its employees according to which its clients would be informed of the termination of its commercial relations with Poggenpohl-France by the company Concept-RL; that assuming this fact is established, it could not, in any case, constitute proof of the existence of an anti-competitive agreement by itself;  </w:t>
        <w:br/>
        <w:t xml:space="preserve">Considering, finally, that the examination of the documents in the file reveals neither that the company Poggenpohl-France holds a dominant position in the market for modular kitchen and bathroom furniture or a substantial part of it, nor that the company Dupuis finds itself in a situation of economic dependency with respect to this company;  </w:t>
        <w:br/>
        <w:t xml:space="preserve">Considering that it follows from all of the above that the termination of commercial relations between the company Dupuis and the company Poggenpohl-France does not fall under the provisions of Article 7 or those of Article 8 of the aforementioned ordinance of December 1, 1986,  </w:t>
        <w:br/>
        <w:t xml:space="preserve">Decides:  </w:t>
        <w:br/>
        <w:t xml:space="preserve">The referral from the company Dupuis, registered under number F 249, is declared inadmissible.  </w:t>
        <w:br/>
        <w:t xml:space="preserve">Deliberated in section, on the oral report of Mr. X. Beuzit, in its session of January 9, 1990, where were present:  </w:t>
        <w:br/>
        <w:t xml:space="preserve">Mr. Laurent, president;  </w:t>
        <w:br/>
        <w:t xml:space="preserve">Messrs. Béteille and Pineau, vice-presidents;  </w:t>
        <w:br/>
        <w:t xml:space="preserve">Messrs. Azema, Flecheux, Schmidt, and Urbain, members.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