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https://www.autoritedelaconcurrence.fr/fr/decision/relative-une-saisine-et-demande-de-mesures-conservatoires-presentees-par-la-societe-sevic</w:t>
      </w:r>
    </w:p>
    <w:p>
      <w:r>
        <w:t>Pages translated : 5</w:t>
      </w:r>
    </w:p>
    <w:p/>
    <w:p>
      <w:r>
        <w:rPr>
          <w:b/>
        </w:rPr>
        <w:t>[Pages 1–3]</w:t>
      </w:r>
    </w:p>
    <w:p>
      <w:r>
        <w:t>Decision No. 02-D-31 of May 30, 2002</w:t>
        <w:br/>
        <w:t>regarding a referral and a request for interim measures</w:t>
        <w:br/>
        <w:t>submitted by SEVIC against MAN Trucks &amp; Buses</w:t>
      </w:r>
    </w:p>
    <w:p>
      <w:r>
        <w:t>The Competition Council (Section I),</w:t>
      </w:r>
    </w:p>
    <w:p>
      <w:r>
        <w:t>Considering the letter registered on January 28, 2002, under numbers 02/0010/F and 02/0011/M, by which SEVIC has referred the Competition Council regarding practices implemented against it by MAN Trucks &amp; Buses and has requested the issuance of interim measures;</w:t>
      </w:r>
    </w:p>
    <w:p>
      <w:r>
        <w:t>Considering Book IV of the Commercial Code relating to price freedom and competition, Decree No. 86-1309 of December 29, 1986, as amended, setting the conditions for the application of Ordinance No. 86-1243 of December 1, 1986, and Decree No. 2002-689 setting the conditions for the application of Book IV of the Commercial Code;</w:t>
      </w:r>
    </w:p>
    <w:p>
      <w:r>
        <w:t>Considering the observations presented by MAN Trucks &amp; Buses and the Government Commissioner;</w:t>
      </w:r>
    </w:p>
    <w:p>
      <w:r>
        <w:t>Considering the other documents in the file;</w:t>
      </w:r>
    </w:p>
    <w:p>
      <w:r>
        <w:t>The rapporteur, the deputy general rapporteur, the Government Commissioner, as well as the representatives of SEVIC and MAN Trucks &amp; Buses heard during the session of April 23, 2002;</w:t>
      </w:r>
    </w:p>
    <w:p>
      <w:r>
        <w:t>THE REFERRAL</w:t>
      </w:r>
    </w:p>
    <w:p>
      <w:r>
        <w:t>Considering that SEVIC, a public limited company based in Domevre-sur-Vezouze in Meurthe-et-Moselle, engages in the activity of purchasing used heavy goods vehicles, partly imported from abroad, and reselling them on national territory; that, in order to register its vehicles in France, SEVIC, in accordance with the regulations in force, requests manufacturers of each vehicle brand to issue a certificate proving their conformity to the model types received in France; that it accuses MAN Trucks &amp; Buses (hereinafter MAN) of issuing these certificates of conformity within excessively long timeframes and at excessively high costs, which would undermine the free movement of goods within the territory of the European Union and obstruct the free play of competition; that SEVIC argues that MAN holds a monopoly in the issuance of certificates of conformity for vehicles of its brand and that it abuses its dominant position within the meaning of Article L. 420-2 of the Commercial Code; that as part of the interim measures, SEVIC requests the Council to order MAN to issue, within a period of three weeks and at a cost of 100 euros, the certificates of conformity, subject to a penalty of 1,000 euros per day of delay per infraction noted;</w:t>
      </w:r>
    </w:p>
    <w:p>
      <w:r>
        <w:t>Considering that in support of its request, SEVIC invokes the interpretative communication C143/4 of May 15, 1996, from the European Commission concerning the procedures for the reception and registration of vehicles previously registered in another Member State, which provides that when Member States delegate to manufacturers or their representatives "public law functions," certain conditions must be respected; it emphasizes that according to this communication, the issuance of the documents necessary for the registration of vehicles must be carried out "at a reasonable cost and within reasonable timeframes (a cost around 100 ecu and a timeframe not exceeding three weeks would be considered reasonable)";</w:t>
      </w:r>
    </w:p>
    <w:p>
      <w:r>
        <w:t>Considering that Article 12 of the amended decree of December 29, 1986 states that "The request for interim measures mentioned in Article 12 of the ordinance (now Article L. 464-1 of the Commercial Code) can only be made incidentally to a substantive referral to the Competition Council. It can be presented at any time during the procedure and must be justified"; that a request for interim measures can therefore only be examined insofar as the substantive referral is admissible and is not rejected for lack of sufficiently probative elements, in application of Article L. 462-8 of the Commercial Code; that furthermore, the request for interim measures must be, in itself, admissible;</w:t>
      </w:r>
    </w:p>
    <w:p>
      <w:r>
        <w:t>ON THE COMPETENCE OF THE COMPETITION COUNCIL</w:t>
      </w:r>
    </w:p>
    <w:p>
      <w:r>
        <w:t>Considering that MAN argues that the Competition Council is not competent to rule on the practices denounced, on the grounds that the issuance of certificates of conformity is not an economic activity of production and service within the meaning of Article L. 410-1 of the Commercial Code, but an activity assigned to it as a public service mission; it explains in this regard that the activity of certification and standardization is a prerogative of public power delegated to MAN, which exercises it not as a company, but as a conformity control, certification, and verification body;</w:t>
      </w:r>
    </w:p>
    <w:p>
      <w:r>
        <w:t>But considering that MAN provides no evidence demonstrating that it has been invested with public power prerogatives for the issuance of certificates of conformity; that the issuance of such documents attesting to conformity with the model types received in France is a service provided at the request of vehicle owners or their representatives, by each manufacturer or its representative, for vehicles built under its brand, for a remuneration freely set by the manufacturer; that it is indeed, therefore, an economic activity on a market within the meaning of Article L. 410-1 of the Commercial Code and that the Competition Council is competent to know the facts denounced by this referral;</w:t>
      </w:r>
    </w:p>
    <w:p>
      <w:r>
        <w:t>ON THE ADMISSIBILITY OF THE SUBSTANTIVE REFERRAL AND THE REQUEST FOR INTERIM MEASURES</w:t>
      </w:r>
    </w:p>
    <w:p>
      <w:r>
        <w:t>Considering that MAN further argues that the referral is inadmissible on the grounds that SEVIC has neither interest nor standing to act to denounce "(…) the community and internal state of the law on vehicle registration";</w:t>
      </w:r>
    </w:p>
    <w:p>
      <w:r>
        <w:t>But considering that SEVIC denounces practices implemented against it by MAN, it therefore has interest and standing to act;</w:t>
      </w:r>
    </w:p>
    <w:p>
      <w:r>
        <w:t>ON THE DENOUNCED PRACTICES</w:t>
      </w:r>
    </w:p>
    <w:p>
      <w:r>
        <w:t>Considering that paragraph 3 of Article L. 462-8 of the Commercial Code states that the Competition Council "(…) may also dismiss the referral by reasoned decision when it considers that the alleged facts are not supported by sufficiently probative elements (…)"</w:t>
      </w:r>
    </w:p>
    <w:p>
      <w:r>
        <w:t>On the relevant market and the position of the company MAN</w:t>
      </w:r>
    </w:p>
    <w:p>
      <w:r>
        <w:t>Considering that the market, as understood by competition law, is defined as the place where supply and demand for a specific product or service meet; that since perfect substitutability between products or services is rarely observed, it is commonly accepted that products or services that can reasonably be considered as alternative means between which demanders can arbitrate to satisfy the same demand should be regarded as substitutable and as being on the same market;</w:t>
      </w:r>
    </w:p>
    <w:p>
      <w:r>
        <w:t>Considering that, in a judgment of November 11, 1986, British Leyland (Case 226/84), the Court of Justice of the European Communities clarified that in a regulatory context providing that the registration of imported vehicles for circulation is subject to the production of a certificate of conformity issued by the manufacturer who holds, in this context, a legal monopoly, the market in question is "(…) not that of the sale of vehicles, but a derived and distinct market, which is that of the services indispensable in fact to professional resellers to ensure the marketing of vehicles (…)"</w:t>
      </w:r>
    </w:p>
    <w:p>
      <w:r>
        <w:t>Considering that the provisions of the Highway Code provide that, for a vehicle to be registered, it must undergo a reception; that this administrative and technical operation is intended to verify the conformity of a vehicle or a type of vehicle with the technical requirements and rules of the Highway Code; that there are two types of reception, community reception and national reception;</w:t>
      </w:r>
    </w:p>
    <w:p>
      <w:r>
        <w:t>Considering that national reception concerns any vehicle with a total weight exceeding 3.5 tons coming from a Member State of the Community, as long as there is no harmonization mechanism for the specificities of these vehicles within the European Community; that the provisions of Article R. 321-15 of the Highway Code distinguish between national reception by type and national reception on an individual basis; that national reception by type allows manufacturers to obtain approval for a prototype vehicle to lead to the production and marketing of a range of vehicles, while national reception on an individual basis concerns, in particular, vehicles that do not conform to a type received in France, vehicles registered outside the metropolitan territory, and vehicles that have undergone significant modifications; that only the services of</w:t>
      </w:r>
    </w:p>
    <w:p>
      <w:r>
        <w:rPr>
          <w:b/>
        </w:rPr>
        <w:t>[Pages 4–5]</w:t>
      </w:r>
    </w:p>
    <w:p>
      <w:r>
        <w:t>Mines operating within the Regional Directorates of Industry, Research, and Environment (DRIRE) are authorized to issue the individual approval report upon presentation of a certificate of conformity issued by the manufacturer or its accredited representative within the national territory;</w:t>
      </w:r>
    </w:p>
    <w:p>
      <w:r>
        <w:t>Considering that it appears from the case file that the manufacturer is obliged, by virtue of its accreditation, to issue the certificate of conformity; that in the event of refusal on its part, and when it concerns an imported vehicle, the vehicle owner could obtain the test reports from the authorities of the country of origin of the vehicle; that, in practice, this procedure is complex and involves uncertainty regarding its outcome; that, although it is still possible for the vehicle owner to request the Union Technique de l’Automobile, du motocycle et du cycle (UTAC), a laboratory accredited in France by the minister responsible for transport, to conduct tests and provide the reports established on that occasion, it turns out that the intervention of the aforementioned organization, besides being particularly costly, materially requires the presentation of the vehicle at the UTAC testing center located in Montlhéry; that, under these conditions, the appeal to UTAC presents a deterrent character for medium-sized companies such as SEVIC;</w:t>
      </w:r>
    </w:p>
    <w:p>
      <w:r>
        <w:t>Considering that it follows from the above that the alternatives allowing for the obtaining of certificates of conformity necessary for the registration of used heavy goods vehicles are not, in practice, substitutable for the issuance of these certificates of conformity by the manufacturer; that the relevant market in this case is therefore that of the issuance of certificates of conformity for used heavy goods vehicles subject to individual approval;</w:t>
      </w:r>
    </w:p>
    <w:p>
      <w:r>
        <w:t>Considering that each manufacturer can only issue a certificate of conformity for vehicles of its brand; that it cannot therefore be excluded that MAN company holds a dominant position in the market for the issuance of certificates of conformity for used heavy goods vehicles of its own brand subject to individual approval;</w:t>
      </w:r>
    </w:p>
    <w:p>
      <w:r>
        <w:t>On the practices</w:t>
      </w:r>
    </w:p>
    <w:p>
      <w:r>
        <w:t>Considering that the interpretative communication of the European Commission, dated May 15, 1996, concerning the procedures for the reception and registration of vehicles previously registered in another Member State, specified that regarding the issuance by manufacturers of the documents necessary for the registration of vehicles, this issuance should occur at a reasonable cost and within reasonable timeframes; that, in the same document, the Commission assessed the reasonable cost and timeframe for the issuance of documents at 100 ecu and three weeks; that, however, these recommendations have only indicative value; that moreover, it should be noted that the communication of May 15, 1996, even though it is of general scope, primarily concerns private vehicles and two to three-wheeled vehicles; that finally, the technical verification of a used heavy goods vehicle, often manufactured individually and which may then undergo numerous transformations, may require costs and verification times exceeding those provided for private vehicles; that thus, it does not appear, a priori, abnormal that the economic value of the service and the issuance timeframe may, to some extent, exceed the criteria set by the aforementioned communication;</w:t>
      </w:r>
    </w:p>
    <w:p>
      <w:r>
        <w:t>Considering that it appears from the documents in the file that MAN company charges a fee of 304.9 euros excluding tax per certificate of conformity and issues the certificates within a maximum timeframe of 66 days; that it has acknowledged having experienced delays in issuing these certificates for several months in 2001 due to a workload overload related to compliance with European environmental standards; that the dispute between SEVIC and MAN occurred during this period; that furthermore, MAN company specified that to establish the certificates of conformity, it must consult its parent company in Munich, which alone holds knowledge of the technical characteristics of the vehicles as they were at the time of their first entry into circulation; that this process explains why the delays may be longer than the timeframe set, for reference, in the aforementioned communication; that SEVIC does not allege or demonstrate that it would have been the sole victim of these delays;</w:t>
      </w:r>
    </w:p>
    <w:p>
      <w:r>
        <w:t>Considering, finally, that no element in the file suggests that the fee of 304.9 euros excluding tax per certificate of conformity could be classified as manifestly excessive in light of the service provided; that indeed, insofar as heavy goods vehicles are often manufactured individually and may then undergo numerous transformations, the issuance of a certificate of conformity requires the implementation of multiple checks and analyses; that in light of these services, the set fee cannot be classified as manifestly excessive; that moreover, it is neither alleged nor, a fortiori, demonstrated that other dealers, manufacturers, or bodybuilders would have benefited from more advantageous rates;</w:t>
      </w:r>
    </w:p>
    <w:p>
      <w:r>
        <w:t>Considering that it follows from the above that the referral does not contain sufficiently probative elements to suggest that practices constituting an abuse of a dominant position would be implemented by MAN company; that, under these conditions, it is necessary to apply the provisions of Article L. 462-8 of the Commercial Code, as mentioned above, and consequently, to reject the request for interim measures;</w:t>
      </w:r>
    </w:p>
    <w:p>
      <w:r>
        <w:t>DECIDES</w:t>
      </w:r>
    </w:p>
    <w:p>
      <w:r>
        <w:t>Single Article - The referral registered under number 02/0010/F and the request for interim measures registered under number 02/0011/M are rejected.</w:t>
      </w:r>
    </w:p>
    <w:p>
      <w:r>
        <w:t>Deliberated on the oral report of Ms. Bergaentzlé, by Mr. Nasse, Vice-President, presiding over the session, Ms. Mader-Saussaye, Messrs. Bidaud and Piot, members.</w:t>
      </w:r>
    </w:p>
    <w:p>
      <w:r>
        <w:t>The session secretary The Vice-President, presiding over the session</w:t>
      </w:r>
    </w:p>
    <w:p>
      <w:r>
        <w:t>Françoise Hazaël-Massieux Philippe Nasse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