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https://www.autoritedelaconcurrence.fr/fr/decision/relative-une-saisine-et-une-demande-de-mesures-conservatoires-de-la-societe-sud-equipement</w:t>
      </w:r>
    </w:p>
    <w:p>
      <w:r>
        <w:t>Pages translated : 3</w:t>
      </w:r>
    </w:p>
    <w:p/>
    <w:p>
      <w:r>
        <w:rPr>
          <w:b/>
        </w:rPr>
        <w:t>[Pages 1–3]</w:t>
      </w:r>
    </w:p>
    <w:p>
      <w:r>
        <w:t xml:space="preserve">FRENCH REPUBLIC  </w:t>
        <w:br/>
        <w:t xml:space="preserve">Decision No. 03-D-14 of March 11, 2003  </w:t>
        <w:br/>
        <w:t xml:space="preserve">regarding a referral and a request for interim measures  </w:t>
        <w:br/>
        <w:t>from the company Sud Equipement Matériels</w:t>
      </w:r>
    </w:p>
    <w:p>
      <w:r>
        <w:t xml:space="preserve">The Competition Council (permanent commission),  </w:t>
        <w:br/>
        <w:t xml:space="preserve">Having regard to the letter registered on September 20, 2002 under numbers 02/0082F and 02/0083M by which the Sarl Sud Equipements Matériels (SEM) referred to the Competition Council practices of the company Haulotte France, a member of the Pinguely-Haulotte group, which it considers anti-competitive and requested the issuance of interim measures;  </w:t>
        <w:br/>
        <w:t xml:space="preserve">Having regard to Book IV of the Commercial Code relating to price freedom and competition and Decree No. 02-689 of April 30, 2002, setting its conditions of application;  </w:t>
        <w:br/>
        <w:t xml:space="preserve">Having regard to the observations presented by the company Haulotte France and by the Government Commissioner;  </w:t>
        <w:br/>
        <w:t xml:space="preserve">Having regard to the other documents in the file;  </w:t>
        <w:br/>
        <w:t xml:space="preserve">The rapporteur, the general rapporteur, the Government Commissioner, and the representatives of the company Haulotte France heard during the session of February 4, 2003; the representative of the company Sud Equipement having been duly summoned;  </w:t>
        <w:br/>
        <w:t>Adopts the following decision:</w:t>
      </w:r>
    </w:p>
    <w:p>
      <w:r>
        <w:t xml:space="preserve">Findings  </w:t>
        <w:br/>
        <w:t xml:space="preserve">1. The company SEM operates in Prades and Cabestany (Pyrénées Orientales) a rental (and possibly sale) activity of tools, agricultural and gardening equipment as well as an activity of "rental of machines and equipment for construction", notably "aerial work platforms" (NAF No.: 713C), which are devices allowing to elevate machines, people, and materials to great heights, whether they are platforms or self-propelled aerial work platforms, on carriers and towable.  </w:t>
        <w:br/>
        <w:t xml:space="preserve">2. It states, firstly, that in 2000, it purchased 12 aerial work platforms from the company Haulotte France, financed by leasing, and that in 2001, the sales force of the latter offered it others; that it did not have the means to acquire them but accepted the following "arrangement" that was proposed to it: it paid Haulotte France inflated prices, the difference being reimbursed through fictitious or overvalued rental or sale of used equipment, the company Haulotte France recovering the corresponding amount from the leasing organization. On July 18, 2001, a new aerial work platform and ten used platforms were acquired under these conditions. In March 2002, two other aerial work platforms were acquired in turn but the totality of the overbilling would not have been fully returned to it by the company Haulotte France.  </w:t>
        <w:br/>
        <w:t>3. In May 2002, it allegedly negotiated the transfer of all its partners' shares with the company Mediaco, which ultimately renounced the operation after an audit of SEM's accounts which notably revealed the purchases of aerial work platforms "at prices far exceeding the market price."</w:t>
      </w:r>
    </w:p>
    <w:p>
      <w:r>
        <w:t xml:space="preserve">4. It follows from the documents submitted to the file, notably a statement from Mr. Fustier, a former member of the sales force of the company Haulotte France, that the latter might be accustomed to this practice, although it asserted, in the dismissal letter addressed to him, that Mr. Fustier would have acted, for certain similar operations, on his own initiative.  </w:t>
        <w:br/>
        <w:t xml:space="preserve">5. Secondly, the SEM states that the company Haulotte France allegedly implemented during the same period, an aggressive commercial policy of selling aerial work platforms to metal carpenters, who constituted the core clientele of rental companies. By practicing this policy of encouraging metal carpenters to opt for purchase rather than rental of the platforms necessary for their operations, the company Haulotte France "would be killing the rental market."  </w:t>
        <w:br/>
        <w:t xml:space="preserve">6. For the SEM, the first category of practices denounced would constitute criminal offenses and would also have an anti-competitive nature in that the company Haulotte France would have abusively exploited "the state of economic dependence in which the Sarl Sud Equipement Matériels found itself in relation to it," notably by subjecting it "to unjustified commercial conditions or obligations" (art. L. 420-2, 2nd paragraph, of the Commercial Code).  </w:t>
        <w:br/>
        <w:t>7. Regarding the second category of practices, the company Haulotte France would have abused its dominant position "by practicing discriminatory sales conditions in favor of metal carpenters," which "distorts the rules of healthy competition and manifestly harms the rights of other clients, notably equipment rental companies" such as the SEM (1st paragraph of art. L. 420-2 of the Commercial Code).</w:t>
      </w:r>
    </w:p>
    <w:p>
      <w:r>
        <w:t xml:space="preserve">On economic dependence  </w:t>
        <w:br/>
        <w:t>8. Nothing in the referral allows us to say that the SEM would be in a situation of economic dependence with respect to the company Haulotte France. In particular, the SEM does not even claim that it would have no alternative supplier, nor economically equivalent solutions.</w:t>
      </w:r>
    </w:p>
    <w:p>
      <w:r>
        <w:t xml:space="preserve">On the dominant position  </w:t>
        <w:br/>
        <w:t xml:space="preserve">9. It cannot be excluded, at this stage of the procedure, that the company Haulotte France holds a dominant position in the market for the manufacture and sale of the concerned equipment: indeed, it is a 99.99% subsidiary of the company Pinguely-Haulotte which, with a turnover of 174,991,000 euros in 2001, would, according to its own terms (financial opinion in Les Échos of October 24, 2002, p. 8), be the "European leader and number 3 worldwide in its market" which "is far from having reached its maturity (+ 10 to 20% per year)." However, the company Haulotte France stated, during the session, that this assertion should be understood for its "core business" only, that is to say for self-propelled aerial work platforms only, and that its situation was less favorable across the entire market of aerial work platforms.  </w:t>
        <w:br/>
        <w:t xml:space="preserve">10. Nothing prohibits a priori a supplier, even if in a dominant position, from modifying its commercial policy, even if it may result in harmful consequences for one or several third-party companies. In this case, the company Haulotte France stated, during the session, that the promotional offer addressed to metal carpentry companies had been limited to three months, and had allowed the sale, under these conditions, of only one aerial work platform.  </w:t>
        <w:br/>
        <w:t xml:space="preserve">11. Finally, the practices related to the manner in which the purchases of aerial work platforms and platforms were financed, assuming they are proven, do not fall within the scope of the Competition Council's competence, insofar as nothing in the referral allows them to be recognized as having an anti-competitive nature.  </w:t>
        <w:br/>
        <w:t>12. It follows from all of the above that, by application of the provisions of article L. 462-8 of the Commercial Code, the referral may be rejected as it does not contain any sufficiently probative elements.</w:t>
      </w:r>
    </w:p>
    <w:p>
      <w:r>
        <w:t>13. Consequently, the request for interim measures, made by the SEM in addition to its substantive referral, must also be rejected.</w:t>
      </w:r>
    </w:p>
    <w:p>
      <w:r>
        <w:t xml:space="preserve">DECISION  </w:t>
        <w:br/>
        <w:t xml:space="preserve">Single Article: The referral registered under number 02/0082F is rejected, as well as the request for interim measures registered under number 02/0083M.  </w:t>
        <w:br/>
        <w:t xml:space="preserve">Deliberated, on the oral report of Mr. Facchin, by Mrs. Hagelsteen, president, Mrs. Pasturel, vice-president, and Mr. Gauron, member replacing Mr. Nasse, vice-president prevented.  </w:t>
        <w:br/>
        <w:t xml:space="preserve">For the secretary of the session, The president,  </w:t>
        <w:br/>
        <w:t xml:space="preserve">Thierry Poncelet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