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https://www.autoritedelaconcurrence.fr/fr/decision/relative-une-saisine-et-une-demande-de-mesures-conservatoires-presentees-par-la-societe-au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92-D-19 of February 26, 1992  </w:t>
        <w:br/>
        <w:t xml:space="preserve">concerning a referral and a request for interim measures  </w:t>
        <w:br/>
        <w:t>submitted by the company Au Plat d'Etain</w:t>
      </w:r>
    </w:p>
    <w:p>
      <w:r>
        <w:t>The Competition Council,</w:t>
      </w:r>
    </w:p>
    <w:p>
      <w:r>
        <w:t>Having regard to the letter registered on December 17, 1991, under numbers F; 462 and M. 93, by which the company Au Plat d'Etain referred the Competition Council to practices of the company Rémanences and requested the pronouncement of interim measures;</w:t>
      </w:r>
    </w:p>
    <w:p>
      <w:r>
        <w:t>Having regard to Ordinance No. 86-1243 of December 1, 1986, concerning the freedom of prices and competition, as amended, together with Decree No. 86-1309 of December 29, 1986, as amended, adopted for its application;</w:t>
      </w:r>
    </w:p>
    <w:p>
      <w:r>
        <w:t>Having regard to the letter from the company Au Plat d'Etain registered on December 26, 1991;</w:t>
      </w:r>
    </w:p>
    <w:p>
      <w:r>
        <w:t>Having regard to the other documents in the file;</w:t>
      </w:r>
    </w:p>
    <w:p>
      <w:r>
        <w:t>The rapporteur, the general rapporteur and the Government Commissioner heard;</w:t>
      </w:r>
    </w:p>
    <w:p>
      <w:r>
        <w:t>Considering that by the aforementioned letter, the company Au Plat d'Etain declared to withdraw its referral;</w:t>
      </w:r>
    </w:p>
    <w:p>
      <w:r>
        <w:t>Considering that there is no need for the council to take action ex officio,</w:t>
      </w:r>
    </w:p>
    <w:p>
      <w:r>
        <w:t xml:space="preserve">Decides:  </w:t>
        <w:br/>
        <w:t>Single Article. - The files registered under numbers F. 462 and M. 93 are closed.</w:t>
      </w:r>
    </w:p>
    <w:p>
      <w:r>
        <w:t xml:space="preserve">Deliberated in permanent commission, on the oral report of Mr. G. Charrier, in its session of February 26, 1992, where were present:  </w:t>
        <w:br/>
        <w:t xml:space="preserve">Mr. Laurent, president;  </w:t>
        <w:br/>
        <w:t>Messrs. Béteille and Pineau, vice-presidents.</w:t>
      </w:r>
    </w:p>
    <w:p>
      <w:r>
        <w:t xml:space="preserve">The substitute general rapporteur, The president,  </w:t>
        <w:br/>
        <w:t xml:space="preserve">Mr. Santarelli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