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https://www.autoritedelaconcurrence.fr/fr/decision/relative-une-saisine-et-une-demande-de-mesures-conservatoires-presentees-par-le-groupement</w:t>
      </w:r>
    </w:p>
    <w:p>
      <w:r>
        <w:t>Pages translated : 2</w:t>
      </w:r>
    </w:p>
    <w:p/>
    <w:p>
      <w:r>
        <w:rPr>
          <w:b/>
        </w:rPr>
        <w:t>[Pages 1–2]</w:t>
      </w:r>
    </w:p>
    <w:p>
      <w:r>
        <w:t xml:space="preserve">FRENCH REPUBLIC  </w:t>
        <w:br/>
        <w:t xml:space="preserve">Decision No. 94-D-15 of March 2, 1994  </w:t>
        <w:br/>
        <w:t xml:space="preserve">concerning a referral and a request for interim measures  </w:t>
        <w:br/>
        <w:t>submitted by the Novoter group and the company Géocom</w:t>
      </w:r>
    </w:p>
    <w:p>
      <w:r>
        <w:t>The Competition Council (standing committee),</w:t>
      </w:r>
    </w:p>
    <w:p>
      <w:r>
        <w:t>Having regard to the letter registered on December 20, 1993, under number F 655, by which Mr. Eric Ternon, acting on behalf of the Novoter and associates business group and as representative of the company Géocom, referred to the Competition Council practices originating from the General Directorate of Taxes, Electricité de France, the Technical Equipment Study Center (C.E.T.E.), and the mixed economy company Icorem, and requested the issuance of interim measures;</w:t>
      </w:r>
    </w:p>
    <w:p>
      <w:r>
        <w:t>Having regard to Ordinance No. 86-1243 of December 1, 1986, as amended, relating to the freedom of prices and competition and Decree No. 86-1309 of December 29, 1986, as amended, taken for its application;</w:t>
      </w:r>
    </w:p>
    <w:p>
      <w:r>
        <w:t>Having regard to the other documents in the file;</w:t>
      </w:r>
    </w:p>
    <w:p>
      <w:r>
        <w:t>The rapporteur, the general rapporteur, the Government Commissioner heard; the representative of the Novoter group and the company Géocom having been duly summoned;</w:t>
      </w:r>
    </w:p>
    <w:p>
      <w:r>
        <w:t>Considering that the company Géocom and the members of the Novoter group, whose activity is the design and development of mapping software for local authorities, have referred to the Competition Council practices originating from the General Directorate of Taxes, Electricité de France, the C.E.T.E., and the company Icorem, which they consider anti-competitive;</w:t>
      </w:r>
    </w:p>
    <w:p>
      <w:r>
        <w:t>Considering that the author of the referral states that the General Directorate of Taxes, by concluding a national protocol on the computerization of the cadastral plan with the ministries of the interior, agriculture, and equipment, the Association of Mayors of France, the assembly of presidents of general councils, the National Council of Geographic Information (C.N.I.G.), the National Geographic Institute, the Order of Land Surveyors, Electricité de France - Gaz de France, France Télécom, La Poste, Lyonnaise des Eaux-Dumez, and the General Water Company, organized an anti-competitive agreement with these administrations, organizations, and companies; that he argues that by imposing through this protocol a standard for the exchange of digital geographic data (standard D X F), the General Directorate of Taxes distorts the market by forcing small companies to purchase American-origin software to work with public authorities; that he claims that by using the name 'Géocom', E.D.F. has made unlawful use of a trademark registered by a member of the group, thereby causing him serious harm; that by not specifying the foreign origin of the software listed in their catalog, the C.E.T.E. and the company Icorem have engaged in false advertising;</w:t>
      </w:r>
    </w:p>
    <w:p>
      <w:r>
        <w:t>Considering that in addition to his substantive referral, the author of the referral requests the Competition Council to take certain interim measures based on Article 12 of the ordinance of December 1, 1986;</w:t>
      </w:r>
    </w:p>
    <w:p>
      <w:r>
        <w:t>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that under Article 53 of the same ordinance: 'The rules defined in this ordinance apply to all activities of production, distribution, and services, including those carried out by public entities';</w:t>
      </w:r>
    </w:p>
    <w:p>
      <w:r>
        <w:t>Considering that some of the practices denounced relate to the conditions under which the aforementioned administrations, organizations, and companies have chosen the type of services they need to use cadastral data, by defining a standard for the exchange of computerized data; that these practices do not fall within the scope of the ordinance of December 1, 1986, as defined by its aforementioned Article 53, and that consequently, the Competition Council does not have jurisdiction to consider them;</w:t>
      </w:r>
    </w:p>
    <w:p>
      <w:r>
        <w:t>Considering that while the actions attributed to E.D.F., the C.E.T.E., and the company Icorem may engage the liability of their authors before the competent courts, they only fall under the examination of the Competition Council if they relate to practices affecting competition in a market as defined by Articles 7 and 8 of the aforementioned ordinance;</w:t>
      </w:r>
    </w:p>
    <w:p>
      <w:r>
        <w:t>Considering that the referring party does not provide elements capable of establishing that the actions attributed to E.D.F., the C.E.T.E., and the company Icorem result from an agreement or an abuse of a dominant position;</w:t>
      </w:r>
    </w:p>
    <w:p>
      <w:r>
        <w:t>Considering that it follows from all of the above that the substantive referral is inadmissible and that, consequently, the request for interim measures should be rejected,</w:t>
      </w:r>
    </w:p>
    <w:p>
      <w:r>
        <w:t xml:space="preserve">Decides:  </w:t>
        <w:br/>
        <w:t xml:space="preserve">Art. 1. - The referral of the Novoter group and the company Géocom, registered under number F 655, is declared inadmissible.  </w:t>
        <w:br/>
        <w:t>Art. 2. - The request for interim measures, registered under number M 188, is rejected.</w:t>
      </w:r>
    </w:p>
    <w:p>
      <w:r>
        <w:t xml:space="preserve">Deliberated on the oral report of Ms. Mathonnière, by Messrs. Barbeau, president,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