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https://www.autoritedelaconcurrence.fr/fr/decision/relative-une-saisine-et-une-demande-de-mesures-conservatoires-presentees-par-lunion</w:t>
      </w:r>
    </w:p>
    <w:p>
      <w:r>
        <w:t>Pages translated : 4</w:t>
      </w:r>
    </w:p>
    <w:p/>
    <w:p>
      <w:r>
        <w:rPr>
          <w:b/>
        </w:rPr>
        <w:t>[Pages 1–3]</w:t>
      </w:r>
    </w:p>
    <w:p>
      <w:r>
        <w:t>the UJCD ; that the letter from the Syndicate of Dentists of Var does not demonstrate any coordinated action against dental prosthetists; that the statements made in the editorial of the journal Le chirurgien-dentiste de France do not constitute a concrete threat of exclusion against dental prosthetists who would agree to fill out the traceability sheets; that the evidence provided does not support the hypothesis of a coordinated action by dentists aimed at placing dental prosthetists outside the legal framework in conditions likely to hinder their activity; Considering, finally, that there is no concrete threat of exclusion against dental prosthetists who would agree to fill out the traceability sheets; that the referring party does not provide any convincing evidence suggesting, in particular, that the recommendations of the Order Council could have had any influence on the activity of these prosthetists or on their relationships with their dentist clients; that, regarding the editorial of the Union Dentaire journal, the nature of this article does not constitute sufficiently convincing evidence to establish the beginning or threat of a boycott by the UJCD.</w:t>
      </w:r>
    </w:p>
    <w:p>
      <w:r>
        <w:rPr>
          <w:b/>
        </w:rPr>
        <w:t>[Pages 4–4]</w:t>
      </w:r>
    </w:p>
    <w:p>
      <w:r>
        <w:t xml:space="preserve">the UJCD which is, moreover, not evidenced by any other element in the file; Considering that it follows from the above that the referring party does not provide sufficiently probative evidence to support the allegation of the existence of anti-competitive practices within the meaning of Articles 7 and 8 of the Ordinance; that it is therefore appropriate to declare the referral inadmissible pursuant to Article 19 of the Ordinance of December 1, 1986 and to consequently reject the request for interim measures, </w:t>
        <w:br/>
        <w:t xml:space="preserve">Decides: </w:t>
        <w:br/>
        <w:t xml:space="preserve">Article 1. - The referral registered under number F 1088 is declared inadmissible. </w:t>
        <w:br/>
        <w:t xml:space="preserve">Article 2. - The request for interim measures registered under number M 223 is rejected. </w:t>
        <w:br/>
        <w:t xml:space="preserve">Deliberated, on the report of Ms. Chaulet-Philippe, by Mr. Jenny, Vice-President, presiding over the session in place of Ms. Hagelsteen, President, prevented, Mr. Cortesse, Vice-President, and Mr. Rocca, member, designated in place of Ms. Pasturel, Vice-President, prevented. </w:t>
        <w:br/>
        <w:t xml:space="preserve">The General Rapporteur, The Vice-President, </w:t>
        <w:br/>
        <w:t xml:space="preserve">presiding over the session, </w:t>
        <w:br/>
        <w:t xml:space="preserve">Marie Picard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