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https://www.autoritedelaconcurrence.fr/fr/decision/relative-une-saisine-presentee-par-la-compagnie-cigna-france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93-D-12 of May 4, 1993  </w:t>
        <w:br/>
        <w:t>concerning a referral submitted by the company Cigna France</w:t>
      </w:r>
    </w:p>
    <w:p>
      <w:r>
        <w:t>The Competition Council (Section III),</w:t>
      </w:r>
    </w:p>
    <w:p>
      <w:r>
        <w:t xml:space="preserve">Having regard to the letter registered on January 19, 1990, under number F. 300 by which the company Cigna France referred to the council practices implemented by S.A. France Handling;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observations of the Government Commissioner;  </w:t>
        <w:br/>
        <w:t xml:space="preserve">Having regard to the other documents in the file;  </w:t>
        <w:br/>
        <w:t xml:space="preserve">Having regard to the letter from the company Cigna France registered on May 4, 1993;  </w:t>
        <w:br/>
        <w:t xml:space="preserve">The rapporteur, the general rapporteur, the Government Commissioner, and the representative of the company Cigna France heard;  </w:t>
        <w:br/>
        <w:t xml:space="preserve">Considering that by letter of May 4, 1993, the company Cigna France declared to withdraw its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The file registered under number F. 300 is closed.  </w:t>
        <w:br/>
        <w:t xml:space="preserve">Adopted on the oral report of Ms. Marie-Christine Daubigney, by Messrs. Barbeau, president, Jenny, vice-president, Blaise, Robin, Sloan, and Thiolon, members.  </w:t>
        <w:br/>
        <w:t xml:space="preserve">The general rapporteur, The president,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