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https://www.autoritedelaconcurrence.fr/fr/decision/relative-une-saisine-presentee-par-la-societe-ad-valorem</w:t>
      </w:r>
    </w:p>
    <w:p>
      <w:r>
        <w:t>Pages translated : 2</w:t>
      </w:r>
    </w:p>
    <w:p/>
    <w:p>
      <w:r>
        <w:rPr>
          <w:b/>
        </w:rPr>
        <w:t>[Pages 1–2]</w:t>
      </w:r>
    </w:p>
    <w:p>
      <w:r>
        <w:t xml:space="preserve">COMPETITION COUNCIL  </w:t>
        <w:br/>
        <w:t xml:space="preserve">Decision No. 98-D-13 of January 27, 1998  </w:t>
        <w:br/>
        <w:t xml:space="preserve">concerning a referral submitted by the company Ad Valorem  </w:t>
        <w:br/>
        <w:t xml:space="preserve">The Competition Council (standing committee),  </w:t>
        <w:br/>
        <w:t xml:space="preserve">Having regard to the letter registered on March 3, 1997, under number F 945, by which the company Ad Valorem referred to the Competition Council practices implemented by the Ministry of the Interior in the field of electronic transmission of vehicle registration requests;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the Government Commissioner, and the representative of the company Ad Valorem heard;  </w:t>
        <w:br/>
        <w:t xml:space="preserve">Considering that the company Ad Valorem, which operates a consulting activity in organization and training, property management, and real estate trading, referred to the Competition Council practices implemented by the Ministry of the Interior in the field of electronic transmission of vehicle registration requests;  </w:t>
        <w:br/>
        <w:t xml:space="preserve">Considering that from the year 1990, the services of the Ministry of the Interior have gradually established in certain prefectures a procedure for the electronic transmission of vehicle registration requests, with the objectives of achieving productivity gains, ensuring the reliability of the national vehicle registration database, and increasing the security of the issuance of registration certificates, known as "gray cards"; that within the framework of this procedure, the information necessary for the registration of vehicles is entered electronically by the applicants and then transmitted to the services of the Ministry of the Interior for the issuance of registration certificates;  </w:t>
        <w:br/>
        <w:t>Considering that the company Ad Valorem argues, firstly, that, wishing to develop an activity as an agent responsible for carrying out on behalf of its clients the administrative steps necessary for obtaining gray cards for new vehicles, it has not obtained authorization to use the electronic transmission procedure for registration requests established in certain prefectures and that it is unaware of the criteria according to which these authorizations are granted; that it contends, secondly, that the Ministry of the Interior selects the companies responsible for managing the computer system allowing access to the national vehicle registration database without complying with the rules relating to public procurement;</w:t>
      </w:r>
    </w:p>
    <w:p>
      <w:r>
        <w:t xml:space="preserve">Considering that pursuant to Article 19 of the Ordinance of December 1, 1986: "The Competition Council may declare, by reasoned decision, the referral inadmissible if it considers that the facts invoked do not fall within its jurisdiction or are not supported by sufficiently probative elements" and that pursuant to Article 53 of the same ordinance: "The rules defined in this ordinance apply to all activities of production, distribution, and services, including those carried out by public entities, notably within the framework of public service delegation agreements";  </w:t>
        <w:br/>
        <w:t xml:space="preserve">Considering that the decisions by which the Minister of the Interior established in certain prefectures a procedure for the electronic transmission of vehicle registration requests and selects the users of this procedure as well as the companies responsible for managing the computer system allowing access to the national vehicle registration database do not constitute an activity of production, distribution, or services within the meaning of Article 53 of the Ordinance of December 1, 1986; that, therefore, these decisions do not fall within the jurisdiction of the Competition Council; that it is up to the company Ad Valorem, if it believes it is justified, to refer the matter to the competent courts;  </w:t>
        <w:br/>
        <w:t xml:space="preserve">Considering, furthermore, that the referring party does not allege the existence of facts that could constitute practices prohibited by Articles 7 and 8 of the Ordinance of December 1, 1986;  </w:t>
        <w:br/>
        <w:t xml:space="preserve">Considering that it follows from the above that it is appropriate to apply the provisions of Article 19 of the Ordinance of December 1, 1986,  </w:t>
        <w:br/>
        <w:t xml:space="preserve">Decides:  </w:t>
        <w:br/>
        <w:t xml:space="preserve">Sole Article.- The referral registered under number F 945 is declared inadmissible.  </w:t>
        <w:br/>
        <w:t xml:space="preserve">Deliberated, on the oral report of Mr. Savinien Grignon Dumoulin,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