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https://www.autoritedelaconcurrence.fr/fr/decision/relative-une-saisine-presentee-par-la-societe-asthrul</w:t>
      </w:r>
    </w:p>
    <w:p>
      <w:r>
        <w:t>Pages translated : 1</w:t>
      </w:r>
    </w:p>
    <w:p/>
    <w:p>
      <w:r>
        <w:rPr>
          <w:b/>
        </w:rPr>
        <w:t>[Pages 1–1]</w:t>
      </w:r>
    </w:p>
    <w:p>
      <w:r>
        <w:t xml:space="preserve">COMPETITION COUNCIL  </w:t>
        <w:br/>
        <w:t xml:space="preserve">Decision No. 99-D-53 of June 22, 1999  </w:t>
        <w:br/>
        <w:t xml:space="preserve">concerning a referral submitted by the company Asthrul  </w:t>
        <w:br/>
        <w:t xml:space="preserve">The Competition Council (standing committee),  </w:t>
        <w:br/>
        <w:t xml:space="preserve">Having regard to the letter registered on December 21, 1998, under number F 1111, by which the company Asthrul referred to the Competition Council concerning anti-competitive practices resulting, according to it, from the refusal of approval for the collection of used oils notified to it by the Prefect of Ille-et-Vilaine on November 19, 1998;  </w:t>
        <w:br/>
        <w:t xml:space="preserve">Having regard to Ordinance No. 86-1243 of December 1, 1986, as amended, relating to the freedom of prices and competition, and Decree No. 86-1309 of December 29, 1986, as amended, adopted for its application;  </w:t>
        <w:br/>
        <w:t xml:space="preserve">Having regard to the letter from the company Asthrul registered on April 27, 1999;  </w:t>
        <w:br/>
        <w:t xml:space="preserve">Having regard to the other documents in the file;  </w:t>
        <w:br/>
        <w:t xml:space="preserve">The reporter, the general reporter, and the Government Commissioner heard;  </w:t>
        <w:br/>
        <w:t xml:space="preserve">After deliberating in the absence of the reporter and the general reporter;  </w:t>
        <w:br/>
        <w:t xml:space="preserve">Considering that, by the aforementioned letter registered on April 27, 1999, the company Asthrul declared its withdrawal of the referral;  </w:t>
        <w:br/>
        <w:t xml:space="preserve">Considering that there is no need for the Council to take action ex officio,  </w:t>
        <w:br/>
        <w:t xml:space="preserve">DECIDES  </w:t>
        <w:br/>
        <w:t xml:space="preserve">Sole Article: The file registered under number F 1111 is closed.  </w:t>
        <w:br/>
        <w:t xml:space="preserve">Deliberated, on the oral report of Mr. Avignon, by Mrs. Hagelsteen, President, Mrs. Pasturel, Vice-President, Messrs. Cortesse and Jenny, Vice-Presidents.  </w:t>
        <w:br/>
        <w:t xml:space="preserve">The session secretary, The President,  </w:t>
        <w:br/>
        <w:t xml:space="preserve">Sylvie Grando Marie-Dominique Hagelsteen  </w:t>
        <w:br/>
        <w:t>© Competition Council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