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https://www.autoritedelaconcurrence.fr/fr/decision/relative-une-saisine-presentee-par-la-societe-europe-aero-service</w:t>
      </w:r>
    </w:p>
    <w:p>
      <w:r>
        <w:t>Pages translated : 4</w:t>
      </w:r>
    </w:p>
    <w:p/>
    <w:p>
      <w:r>
        <w:rPr>
          <w:b/>
        </w:rPr>
        <w:t>[Pages 1–3]</w:t>
      </w:r>
    </w:p>
    <w:p>
      <w:r>
        <w:t xml:space="preserve">FRENCH REPUBLIC  </w:t>
        <w:br/>
        <w:t xml:space="preserve">Decision No. 95-D-11 of January 31, 1995  </w:t>
        <w:br/>
        <w:t xml:space="preserve">regarding a referral submitted by the company Europe Aéro Service  </w:t>
        <w:br/>
        <w:t xml:space="preserve">The Competition Council (permanent commission),  </w:t>
        <w:br/>
        <w:t xml:space="preserve">Having regard to the letter registered on September 23, 1991, under number F 438, by which the company Europe Aéro Service referred to the Competition Council practices implemented by the company Air Charter that it considers anti-competitive;  </w:t>
        <w:br/>
        <w:t xml:space="preserve">Having regard to Ordinance No. 86-1243 of December 1, 1986, as amended, relating to the freedom of prices and competition and Decree No. 86-1309 of December 29, 1986, as amended, taken for its application;  </w:t>
        <w:br/>
        <w:t xml:space="preserve">Having regard to Decision 91-MC-04 of the Competition Council dated October 9, 1991, rejecting the request for interim measures submitted by the company Europe Aéro Service;  </w:t>
        <w:br/>
        <w:t xml:space="preserve">Having regard to the judgment of the Commercial Court of Perpignan of December 27, 1991, ordering the transfer of assets in favor of the company Nouvelle Europe Aéro Service;  </w:t>
        <w:br/>
        <w:t xml:space="preserve">Having regard to the other documents in the file;  </w:t>
        <w:br/>
        <w:t xml:space="preserve">The rapporteur, the general rapporteur, and the Government Commissioner having been heard, the company Nouvelle Europe Aéro Service having been duly summoned;  </w:t>
        <w:br/>
        <w:t xml:space="preserve">Adopts the decision based on the findings (I) and the reasons (II) set out below:  </w:t>
        <w:br/>
        <w:t xml:space="preserve">I. - FINDINGS  </w:t>
        <w:br/>
        <w:t xml:space="preserve">a) Regulation of air transport  </w:t>
        <w:br/>
        <w:t xml:space="preserve">At the time of the events reported in the referral, air transport activity was regulated by the Civil Aviation Code and in particular:  </w:t>
        <w:br/>
        <w:t>- by Article L. 330-1 which states: 'French natural persons and legal entities having their registered office in France may not engage in public air transport activity, either on national territory or abroad, using aircraft registered in France unless they have been authorized to do so by the administrative authority.'</w:t>
      </w:r>
    </w:p>
    <w:p>
      <w:r>
        <w:t xml:space="preserve">The authorization specifies the duration for which it is granted, the purpose of the transport, the routes or geographical areas that the company can serve, and the equipment it can operate;  </w:t>
        <w:br/>
        <w:t xml:space="preserve">- and by Article R. 330-1 according to which: 'The authorization to engage in air transport activity provided for in Article L. 330-1 is granted by order of the minister responsible for civil aviation, after consultation with the Higher Council of Commercial Aviation, particularly concerning the moral, financial, and technical guarantees presented by the interested company and the advisability of creating a new air transport service.'  </w:t>
        <w:br/>
        <w:t xml:space="preserve">b) The evolution of the activity of French charter companies  </w:t>
        <w:br/>
        <w:t xml:space="preserve">On total air traffic that increased according to data provided by the General Directorate of Civil Aviation from 21 million passengers in 1988 to 42 million in 1993, the number of passengers transported by French charter companies increased during the same period from 3,783,117 to 4,423,303, representing a growth of 17%.  </w:t>
        <w:br/>
        <w:t xml:space="preserve">On-demand transport constitutes a specific market, determined, on the one hand, by the terms of the administrative authorization (unlike scheduled flights, the authorization for on-demand transport pertains not to routes but to an area) and, on the other hand, by the particular nature of the demand primarily constituted by travel agencies.  </w:t>
        <w:br/>
        <w:t xml:space="preserve">Between 1988 and 1993, the traffic shares held by the main charter companies evolved as follows:  </w:t>
        <w:br/>
        <w:t xml:space="preserve">1988 (%) 1993 (%)  </w:t>
        <w:br/>
        <w:t xml:space="preserve">Air Charter……………………….. 50 28  </w:t>
        <w:br/>
        <w:t xml:space="preserve">Corse Air International…………… 8.9 24  </w:t>
        <w:br/>
        <w:t xml:space="preserve">Air Liberté……………………….. 4.3 15  </w:t>
        <w:br/>
        <w:t xml:space="preserve">Minerve + AOM………………….. 12 7.5  </w:t>
        <w:br/>
        <w:t xml:space="preserve">Europe Aéro Service (which became Société nouvelle Europe Aéro Service in 1991)…………………... 5.7 6.6  </w:t>
        <w:br/>
        <w:t xml:space="preserve">Source: D.G.A.C.  </w:t>
        <w:br/>
        <w:t xml:space="preserve">c) The practices denounced  </w:t>
        <w:br/>
        <w:t xml:space="preserve">The company Europe Aéro Service operated, until the transfer of assets ordered by the Commercial Court of Perpignan on December 27, 1991, an activity of maintenance and air transport through scheduled and on-demand flights.  </w:t>
        <w:br/>
        <w:t xml:space="preserve">In the field of scheduled flights, it operated two routes: Paris-Bissau and Paris-Girona. In February 1989, it requested from the General Directorate of Civil Aviation authorization to operate seven new routes. Although the Higher Council of Commercial Aviation gave a favorable opinion, the General Directorate of Civil Aviation refused all the requested routes.  </w:t>
        <w:br/>
        <w:t>The applicant company argues that the refusal of the General Directorate of Civil Aviation resulted from pressure from the Air France group and that by exerting this pressure to eliminate it from the market, Air France abused its dominant position.</w:t>
      </w:r>
    </w:p>
    <w:p>
      <w:r>
        <w:t xml:space="preserve">In the field of on-demand flights, the company Europe Aéro Service signed, in the 1980s, contracts with Air Charter for the provision of aircraft under which it made aircraft available to Air Charter along with their crew. In return, Air Charter committed to a certain number of flight hours. The provision was exclusive, with Europe Aéro Service committing not to charter its aircraft to other air carriers. On January 25, 1990, the two companies signed a 'progress contract' under which Air Charter handled all the marketing of charter flights operated by Europe Aéro Service's fleet; this commercial exclusivity was accompanied by Air Charter's commitment to the level of production for each fiscal year.  </w:t>
        <w:br/>
        <w:t xml:space="preserve">The progress contract encouraged Europe Aéro Service to establish structures in equipment and personnel to enable it to ensure approximately 30,000 flight hours per year. This figure was not reached, and Europe Aéro Service encountered difficulties that led to the opening of a judicial recovery procedure and then to the judicial liquidation of this company, pronounced on December 27, 1991, by the Commercial Court of Perpignan.  </w:t>
        <w:br/>
        <w:t xml:space="preserve">The referring party argues that by failing to fulfill its commitments, Air Charter sought to eliminate it from the market, thus abusing its dominant position in the on-demand flight market as well as the state of economic dependence in which it found itself in relation to Air Charter.  </w:t>
        <w:br/>
        <w:t xml:space="preserve">II. - BASED ON THE FINDINGS ABOVE, THE COUNCIL  </w:t>
        <w:br/>
        <w:t xml:space="preserve">Considering that under the Civil Aviation Code, the authorization to operate an air route is issued by the minister responsible for civil aviation; that the refusal opposed by the minister responsible for civil aviation to the request of the company Europe Aéro Service seeking authorization to operate new routes does not fall within the jurisdiction of the Competition Council; that it was therefore up to the company Europe Aéro Service to refer the matter to the competent administrative jurisdiction;  </w:t>
        <w:br/>
        <w:t xml:space="preserve">Considering that neither the elements submitted to the file nor the investigation conducted have established that the Air France group abused its dominant position;  </w:t>
        <w:br/>
        <w:t xml:space="preserve">Considering that before 1980, the company Europe Aéro Service conducted its air transport activity independently; that it subsequently chose to sign charter contracts with Air Charter; that the charter contracts contained a termination clause for non-compliance with obligations; that this clause stipulated: 'In the event of non-compliance by either party with any of the obligations incumbent upon it under this contract, the other party is entitled, after formal notice sent by registered letter with acknowledgment of receipt and remaining without effect after a period of fifteen days from the date of sending, to terminate this contract without notice or compensation, by simple written notification sent by registered mail, with acknowledgment of receipt'; that, therefore, it is not established that the company Europe Aéro Service found itself in a situation of economic dependence within the meaning of Article 8-2 of the Ordinance of December 1, 1986;  </w:t>
        <w:br/>
        <w:t>3</w:t>
      </w:r>
    </w:p>
    <w:p>
      <w:r>
        <w:rPr>
          <w:b/>
        </w:rPr>
        <w:t>[Pages 4–4]</w:t>
      </w:r>
    </w:p>
    <w:p>
      <w:r>
        <w:t>Considering that it follows from the above that the practices denounced by the company Europe Aéro Service cannot be regarded as constitutive of practices prohibited by Article 8 of the ordinance of December 1, 1986, Decides: Unique Article. - There is no need to continue the procedure. Deliberated, on the oral report of Ms. Marie-Hélène Mathonnière, by Messrs. Barbeau, president, Cortesse and Jenny, vice-president. The substitute general rapporteur, The president, François Vaissette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