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https://www.autoritedelaconcurrence.fr/fr/decision/relative-une-saisine-presentee-par-la-societe-itcis</w:t>
      </w:r>
    </w:p>
    <w:p>
      <w:r>
        <w:t>Pages translated : 2</w:t>
      </w:r>
    </w:p>
    <w:p/>
    <w:p>
      <w:r>
        <w:rPr>
          <w:b/>
        </w:rPr>
        <w:t>[Pages 1–2]</w:t>
      </w:r>
    </w:p>
    <w:p>
      <w:r>
        <w:t xml:space="preserve">FRENCH REPUBLIC  </w:t>
        <w:br/>
        <w:t xml:space="preserve">Decision No. 93-D-09 of April 28, 1993  </w:t>
        <w:br/>
        <w:t xml:space="preserve">concerning a referral submitted by the company I.T.C.I.S.  </w:t>
        <w:br/>
        <w:t xml:space="preserve">The Competition Council (Permanent Commission),  </w:t>
        <w:br/>
        <w:t xml:space="preserve">Having regard to the letter registered on December 14, 1992, under number F. 564 by which the company  </w:t>
        <w:br/>
        <w:t xml:space="preserve">Institut des techniques commerciales et informatiques de Strasbourg (I.T.C.I.S.) referred to the  </w:t>
        <w:br/>
        <w:t xml:space="preserve">Competition Council practices it considers anti-competitive, implemented by the company Groupe Pigier and the company Groupe Educinvest, together with its supplementary letter registered on January 15, 1993;  </w:t>
        <w:br/>
        <w:t xml:space="preserve">Having regard to Ordinance No. 86-1243 of December 1, 1986, relating to the freedom of prices and competition, as amended, together with Decree No. 86-1309 of December 29, 1986, as amended, adopted for its application;  </w:t>
        <w:br/>
        <w:t xml:space="preserve">The rapporteur, the general rapporteur, the Government Commissioner, and the representative of the company I.T.C.I.S. heard;  </w:t>
        <w:br/>
        <w:t xml:space="preserve">Considering that the company I.T.C.I.S., which is a private educational institution, a member of the Pigier franchise network, complains of being a victim of abuse of a dominant position and abuse of economic dependence by the company Groupe Pigier, a subsidiary of the company Groupe Educinvest, and by the latter, as these two companies would force it to 'appear under different labels characterizing predefined product lines, would not transmit to it specific know-how from the Groupe Pigier and would dilute the E.S.I.A.E. label within the Groupe Educinvest while it would be a specificity of the Groupe Pigier';  </w:t>
        <w:br/>
        <w:t xml:space="preserve">Considering that the company I.T.C.I.S. also denounces an agreement within the Educinvest group, which would develop product lines under different strangely similar labels (E.S.C.T., I.S.I.A.E., E.S.A.E.) to those attributed to the Groupe Pigier (I.S.C.T., E.S.I.A.E., I.S.T.), while some belong exclusively to the Groupe Pigier (E.S.I.A.E.), which would lose all specificity for the schools, particularly for the Pigier school in Strasbourg, a city where five schools belonging to the Educinvest group (F.A.X., E.S.I.A.E., I.S.C.O.M., E.S.C.T., E.S.I.G.) would develop 'identical programs' to those it offers, and whose teachers would be trained by direct competitors of I.T.C.I.S. belonging to the Groupe Educinvest;  </w:t>
        <w:br/>
        <w:t xml:space="preserve">Considering that under Article 19 of the aforementioned ordinance of December 1, 1986, the Competition Council may declare the referral inadmissible if it considers that the facts invoked do not fall within its jurisdiction or are not supported by sufficiently probative elements;  </w:t>
        <w:br/>
        <w:t xml:space="preserve">Considering, on the one hand, that the applicant does not provide elements capable of establishing that the company Groupe Pigier or the company Groupe Educinvest has a dominant position in the market where they both carry out their activities and that the mere fact that the company I.T.C.I.S. is a member of the Pigier franchise network does not establish a state of economic dependence to its detriment with respect to the franchisor;  </w:t>
        <w:br/>
        <w:t xml:space="preserve">Considering, on the other hand, that assuming the alleged practices could engage the liability of their authors for non-compliance with their contractual obligations or the principle of fair competition, the file does not contain sufficiently probative elements to establish that they are likely to affect the functioning of competition in a market; that, moreover, the commercial judge is already seized of the behaviors denounced in the referral under the commercial dispute opposing the applicant company and the company Groupe Pigier;  </w:t>
        <w:br/>
        <w:t xml:space="preserve">Considering that it follows from the above that the referral submitted by the company I.T.C.I.S. is not admissible,  </w:t>
        <w:br/>
        <w:t xml:space="preserve">Decides:  </w:t>
        <w:br/>
        <w:t xml:space="preserve">Sole Article. - The referral registered under number F 564 is declared inadmissible.  </w:t>
        <w:br/>
        <w:t xml:space="preserve">Adopted, on the oral report of Mr. Bernard Thouvenot, by Mr. Barbeau, president, Mr. Jenny, vice-president, and Mr. Cortesse, member, designated in replacement of Mr. Béteille.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