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https://www.autoritedelaconcurrence.fr/fr/decision/relative-une-saisine-presentee-par-la-societe-kaoliniere-armoricaine</w:t>
      </w:r>
    </w:p>
    <w:p>
      <w:r>
        <w:t>Pages translated : 4</w:t>
      </w:r>
    </w:p>
    <w:p/>
    <w:p>
      <w:r>
        <w:rPr>
          <w:b/>
        </w:rPr>
        <w:t>[Pages 1–3]</w:t>
      </w:r>
    </w:p>
    <w:p>
      <w:r>
        <w:t>COMPETITION COUNCIL</w:t>
        <w:br/>
        <w:t>Decision No. 99-D-69 of November 23, 1999</w:t>
        <w:br/>
        <w:t>regarding the implementation of differentiated reimbursements in the field of optics</w:t>
        <w:br/>
        <w:t>and the issue of the communication of agreements signed between mutuals and opticians</w:t>
        <w:br/>
        <w:t>The Competition Council (section III),</w:t>
        <w:br/>
        <w:t>Having regard to the letter registered on April 26, 1999, under number F 1138, by which the company Kaolinière Armoricaine referred to the Competition Council practices implemented by the company Denain Anzin Minéraux, which it considers anti-competitive;</w:t>
        <w:br/>
        <w:t>Having regard to the Treaty of March 25, 1957 establishing the European Community and in particular Articles 81 and 82 (formerly Articles 85 and 86);</w:t>
        <w:br/>
        <w:t>Having regard to Council Regulation (EEC) No. 4064/89 of December 21, 1989, as amended, concerning the control of concentrations between undertakings;</w:t>
        <w:br/>
        <w:t>Having regard to Ordinance No. 86-1243 of December 1, 1986, as amended, concerning price and competition freedom and Decree No. 86-1309 of December 29, 1986, as amended, taken for its application;</w:t>
        <w:br/>
        <w:t>Having regard to the letter from the Minister of Economy, Finance and Industry dated May 18, 1999, addressed to the board of the company Denain Anzin Minéraux;</w:t>
        <w:br/>
        <w:t>Having regard to the other documents in the file;</w:t>
        <w:br/>
        <w:t>The rapporteur, the general rapporteur, the Government Commissioner, and the representative of the company Kaolinière Armoricaine heard;</w:t>
        <w:br/>
        <w:t>After deliberating in the absence of the rapporteur and the general rapporteur;</w:t>
        <w:br/>
        <w:t>Considering that the company Kaolinière Armoricaine (hereinafter SOKA), whose activity is the extraction of kaolin intended for the manufacture of ceramic products, has referred to the Competition Council the acquisition, in December 1998, by the company Denain Anzin Minéraux (hereinafter DAM), of the companies Kaolin d'Armor and Kaolin de Beauvoir, subsidiaries of the Lasource S.A. group;</w:t>
        <w:br/>
        <w:t>Considering that the company SOKA states that following this acquisition, the company DAM finds itself in a dominant position in the French market for kaolin production for ceramics and that this operation presents a risk of affecting competition in a substantial part of the European market;</w:t>
      </w:r>
    </w:p>
    <w:p>
      <w:r>
        <w:t>Considering that the company SOKA argues, on the one hand, that the sale at the origin of the concentration constitutes an anti-competitive agreement prohibited by Article 7 of the Ordinance of December 1, 1986, and Article 81 of the EC Treaty (formerly Article 85), and, on the other hand, that the operation, as such, reflects an abuse of dominant position prohibited by Article 8 of the Ordinance of December 1, 1986, and Article 82 of the EC Treaty (formerly Article 86); that the company SOKA does not allege, moreover, the existence of any other practice that would be distinct from the acquisition operation itself;</w:t>
        <w:br/>
        <w:t>Considering that under the terms of Article 19 of the aforementioned Ordinance of December 1, 1986: "the Competition Council may declare, by a reasoned decision, the referral inadmissible if it considers that the facts invoked do not fall within the scope of its jurisdiction or are not supported by sufficiently probative elements";</w:t>
        <w:br/>
        <w:t>On the application of Articles 7 and 8 of the Ordinance of December 1, 1986</w:t>
        <w:br/>
        <w:t>Considering that, on the basis of the provisions of Article 40 of the Ordinance of December 1, 1986, the company DAM notified, on March 19, 1999, the acquisition of the companies Kaolin d'Armor and Kaolin de Beauvoir to the Minister of Economy, Finance and Industry;</w:t>
        <w:br/>
        <w:t>Considering that, by letter dated May 18, 1999, published in the Official Bulletin of Competition, Consumption and Fraud Prevention on July 27, 1999, the Minister of Economy, Finance and Industry noted that this acquisition constituted a concentration and informed the notifying company that he had decided not to refer the matter to the Council and not to subject the operation to specific conditions;</w:t>
        <w:br/>
        <w:t>Considering that it follows from a judgment of the Paris Court of Appeal dated June 28, 1994, that "the procedures provided for in Title III concerning the control of agreements and in Title V concerning the control of concentrations are different and incompatible with each other... that it follows from the combination of the texts of Title III and those of Title V that operations meeting the definition of concentration in Article 39 of Title V are excluded from the jurisdiction of the Council ruling in contentious matters"; that the Court of Cassation (commercial, financial and economic chamber) rejected the appeal against this judgment, specifying: "the litigating parties having not reported any illegal practices arising from these agreements that could be the subject, if necessary, of a separate referral to the Competition Council on the basis of Articles 7 and 8 of the Ordinance, it is rightly that the Court of Appeal... declared inadmissible before the Competition Council the referrals concerning these economic concentration operations" (judgment No. 1881 P of November 26, 1996);</w:t>
        <w:br/>
        <w:t>Considering that the practices subject to this referral have been qualified as economic concentration by the letter of the Minister authorizing the operation; that, therefore, the Council is not competent to examine this referral in light of Articles 7 and 8 of the Ordinance of December 1, 1986;</w:t>
        <w:br/>
        <w:t>On the application of Articles 81 and 82 of the EC Treaty (formerly Articles 85 and 86)</w:t>
        <w:br/>
        <w:t>Considering that Council Regulation (EEC) No. 4064/89 of December 21, 1989, as amended by Council Regulation (EC) No. 1310/97 of June 30, 1997, concerning the control of concentrations between undertakings is based, in particular, on the provisions of Article 83 of the EC Treaty (formerly Article 87) which allow the Council of the European Community to adopt any useful regulations or directives for the application of the principles set out in Articles 81 and 82; that this regulation constitutes an implementing text of Articles 81 and 82;</w:t>
        <w:br/>
        <w:t>Considering that under the terms of Article 22-1 of the regulation: "this regulation is solely applicable to concentrations as defined in Article 3, and Regulations (EEC) No. 17/62, (EEC) No. 1017/68, (EEC) No. 4056/86, and (EEC) No. 3975/87 are not applicable, except to joint ventures that do not have a Community dimension and whose purpose or effect is the coordination of the competitive behavior of companies that remain independent";</w:t>
        <w:br/>
        <w:t>Considering that, according to the provisions of its Article 3 paragraph 1, b), a concentration operation is realized when one or more undertakings acquire directly or indirectly, whether by taking a stake in the capital or purchasing assets, contract or any other means, control of all or part of one or more other undertakings; that the acquisition by the company DAM of 99% of the capital of the companies Kaolin d'Armor and Kaolin de Beauvoir results in the direct control of all of these two companies and constitutes a concentration within the meaning of these provisions; that the provisions of Regulation (EEC) No. 4064/89 are consequently applicable to the operation submitted for the Council's examination;</w:t>
        <w:br/>
        <w:t>Considering that the article of the aforementioned regulation sets thresholds, expressed in turnover, allowing the definition of concentration operations that are of Community dimension; that its Article 21-1 affirms the exclusive competence of the Commission to assess these concentrations of Community dimension; that concentration operations that do not reach the thresholds defined in Article 21-1 remain subject to the national legislations of the Member States; that this is the case for the operation contested by the company SOKA;</w:t>
        <w:br/>
        <w:t>Considering that, concerning concentrations of Community dimension, Article 9 organizes a referral procedure, at their request, to the competent authorities of the Member States, for operations that may hinder competition in their national market; that Article 21-3 also opens the possibility for Member States to take appropriate measures to ensure the protection of legitimate interests other than those taken into consideration by the regulation;</w:t>
        <w:br/>
        <w:t>Considering that, concerning concentrations without Community dimension, the provisions of Article 22-3 of the regulation provide for the extension of the Commission's competence to intervene, at the request of a Member State, regarding such concentrations in the event that they produce a significant hindrance to competition in the territory of that Member State and to the extent that they affect trade between Member States;</w:t>
        <w:br/>
        <w:t>Considering, thus, that no provision assigns to the authorities of the Member States specifically responsible for applying their competition legislation the competence to examine concentration operations on the basis of Articles 81 and 82 of the EC Treaty, even if these operations do not have a Community dimension;</w:t>
      </w:r>
    </w:p>
    <w:p>
      <w:r>
        <w:rPr>
          <w:b/>
        </w:rPr>
        <w:t>[Pages 4–4]</w:t>
      </w:r>
    </w:p>
    <w:p>
      <w:r>
        <w:t xml:space="preserve">Considering, therefore, that the Council is not competent to hear the present referral in light of Articles 81 and 82 of the EC Treaty;  </w:t>
        <w:br/>
        <w:t xml:space="preserve">Considering that it follows from the above that the referral registered under number F 1138 is not admissible,  </w:t>
        <w:br/>
        <w:t xml:space="preserve">Decides:  </w:t>
        <w:br/>
        <w:t xml:space="preserve">Sole Article. - The referral registered under number F 1138 is declared inadmissible.  </w:t>
        <w:br/>
        <w:t xml:space="preserve">Deliberated, on the oral report of Mr. Grignon Dumoulin, by Ms. Hagelsteen, President, Ms. Pasturel, Vice-President, Messrs. Cortesse and Jenny, Vice-Presidents, Ms. Marie-Chantal Boutard-Labarde, Elisabeth Flüry-Herard and Messrs. Jean-Pierre Bideaud, Jacques Ripotot, Georges Robin, members.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