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https://www.autoritedelaconcurrence.fr/fr/decision/relative-une-saisine-presentee-par-la-societe-pharma-lab</w:t>
      </w:r>
    </w:p>
    <w:p>
      <w:r>
        <w:t>Pages translated : 10</w:t>
      </w:r>
    </w:p>
    <w:p/>
    <w:p>
      <w:r>
        <w:rPr>
          <w:b/>
        </w:rPr>
        <w:t>[Pages 1–3]</w:t>
      </w:r>
    </w:p>
    <w:p>
      <w:r>
        <w:t>INGELHEIM a informé Pharma-Lab qu'il était en rupture de stock de Combivent et Atrovent, et que les délais de livraison seraient prolongés ; que, par ailleurs, la société Pharma-Lab a constaté que les quantités livrées étaient inférieures à celles commandées, ce qui a eu pour effet de perturber son approvisionnement et de nuire à son activité ;</w:t>
      </w:r>
    </w:p>
    <w:p>
      <w:r>
        <w:t>Considérant que la société Pharma-Lab soutient que ces pratiques des laboratoires pharmaceutiques Glaxo Wellcome, Lilly, Boehringer Ingelheim, Wyeth Lederlé, Leo France, Ferring, Medisense France, Novartis Pharma SA et Pfizer constituent des abus de position dominante et des pratiques anticoncurrentielles ;</w:t>
      </w:r>
    </w:p>
    <w:p>
      <w:r>
        <w:t>Considérant que, dans ce contexte, la société Pharma-Lab a demandé au Conseil de la concurrence de prendre des mesures conservatoires afin de mettre fin à ces pratiques et de garantir un approvisionnement régulier en médicaments ;</w:t>
      </w:r>
    </w:p>
    <w:p>
      <w:r>
        <w:t>Considérant que le Conseil de la concurrence, après avoir examiné les éléments du dossier et entendu les parties, estime qu'il existe des indices sérieux laissant supposer que les pratiques dénoncées pourraient constituer des infractions aux dispositions du livre IV du code de commerce ;</w:t>
      </w:r>
    </w:p>
    <w:p>
      <w:r>
        <w:t>Considérant qu'il y a lieu de faire droit à la demande de la société Pharma-Lab et de prononcer des mesures conservatoires ;</w:t>
      </w:r>
    </w:p>
    <w:p>
      <w:r>
        <w:t>DECIDE :</w:t>
        <w:br/>
        <w:t>Article 1 : Il est ordonné aux laboratoires Glaxo Wellcome, Lilly, Boehringer Ingelheim, Wyeth Lederlé, Leo France, Ferring, Medisense France, Novartis Pharma SA et Pfizer de mettre fin aux pratiques dénoncées par la société Pharma-Lab et de garantir un approvisionnement régulier en médicaments.</w:t>
      </w:r>
    </w:p>
    <w:p>
      <w:r>
        <w:t>Article 2 : La présente décision sera notifiée aux parties et publiée au Journal officiel.</w:t>
      </w:r>
    </w:p>
    <w:p>
      <w:r>
        <w:rPr>
          <w:b/>
        </w:rPr>
        <w:t>[Pages 4–6]</w:t>
      </w:r>
    </w:p>
    <w:p>
      <w:r>
        <w:t>Ingelheim declared a complete stockout of Atrovent from December 9 to 17, 1999, and of Combivent since December 14; it added that the situation should return to normal during the second week of January for Atrovent and from January 5 for Combivent; however, to date, it has still not delivered the full quantities ordered of Atrovent, Combivent, and Caldine; Pharma-Lab further argues that, since September 22, 1997, it benefited from a 30-day end-of-month payment term and a 3.5% discount with Boehringer Ingelheim; by letter dated July 12, 1999, this laboratory informed it that from September 1 next, it would reduce the export payment terms to 30 days end of month without discount, citing a decrease in turnover between 1998 and 1999; two months later, in a letter dated September 16, 1999, Boehringer Ingelheim decided to reduce, effective December 1, 1999, the payment term for orders destined for the EEC from 60 days to 30 days, without any reason;</w:t>
      </w:r>
    </w:p>
    <w:p>
      <w:r>
        <w:t>Considering that the laboratory Wyeth Lederlé distributes, among others, the medication Soprol coated tablet 10 mg box of 28, used for the treatment of arterial hypertension and the prophylaxis of effort angina attacks;</w:t>
      </w:r>
    </w:p>
    <w:p>
      <w:r>
        <w:t>Considering that the company Pharma-Lab complains that it has been supplied with Soprol late since December 1999, with delivery times of up to 43 days; that the laboratory Wyeth Lederlé initially invoked the necessity to verify the traceability of the batches and then cited supply problems;</w:t>
      </w:r>
    </w:p>
    <w:p>
      <w:r>
        <w:t>Considering that the laboratory Leo France distributes, among others, the product Fucidine cream and ointment 2% tube 15 g, whose indications stem from the antibacterial activity and pharmacokinetic characteristics of fusidic acid;</w:t>
      </w:r>
    </w:p>
    <w:p>
      <w:r>
        <w:t>Considering that the company Pharma-Lab indicates that since October 1999, the delivery time for this medication has been, for certain orders, 63 days, a time frame significantly higher than those practiced in the profession; that it had to source from distributing wholesalers who delivered the full quantities ordered; that it adds that until October 1999 Leo France supplied it with pharmaceutical products for export against payment within 90 days end of month; that on October 13, 1999, it confirmed to her that "the payment terms applied to any exporting wholesaler in France, regardless of the destination of re-export, are as follows: full payment upon order, maximum discount of 0.8%"; that, by letter dated November 22, 1999, it requested Leo France to confirm that the payment terms granted to it were identical to those given to distributing wholesalers; that the latter responded to her, by letter dated December 3, 1999, that the sales conditions for exporting wholesalers are: "cash payment + 0.8% discount. .... We prefer this formula for exporting wholesalers due to the well-known financial risk associated with some of them";</w:t>
      </w:r>
    </w:p>
    <w:p>
      <w:r>
        <w:t>Considering that the laboratory Ferring distributes, among others, the medication Minirin tablet 0.1/0.2 mg box of 90, used for the treatment of central diabetes insipidus pitressin-sensitive;</w:t>
      </w:r>
    </w:p>
    <w:p>
      <w:r>
        <w:t>Considering that the company Pharma-Lab states that since March 1999, this product has been delivered to it late; that on April 23, 1999, the laboratory Ferring declared itself unable to fulfill an order from March 24, 1999, on the grounds that it exceeded the stocks it had; that, however, by letter dated June 14, 1999, the laboratory Ferring informed her that it would be able to fulfill her order by the end of November or early December 1999 at the latest; that the quantities she ordered represent a small share of the market, namely less than 0.25% of "annual pharmacy sales"; that she had to turn to distributing wholesalers who delivered her within the time frames consistent with those of the profession; that however, since June 5, 2000, her orders have been delivered within the time frames consistent with those of the profession; that, moreover, by two faxes dated September 28 and 29, 1999, the laboratory Ferring indicated that it intended to apply to the company Pharma-Lab a price excluding tax higher by 2% than the price normally applied to other wholesalers, due to the EEC destination of its orders; that, by fax dated October 12, 1999, the laboratory Ferring explained this price diversity by the difference between CIF (Cost Insurance and Freight) conditions and FOB (Free On Board) conditions; that thus, it reverted to its position by granting her a price almost identical to that applied to French wholesalers, but under FOB conditions and not CIF, while other French wholesalers benefit from the same selling price, but under CIF conditions;</w:t>
      </w:r>
    </w:p>
    <w:p>
      <w:r>
        <w:t>Considering that the laboratory Medisense France distributes, among others, the products Medisense precision plus electrodes box of 100, which are reactive tests;</w:t>
      </w:r>
    </w:p>
    <w:p>
      <w:r>
        <w:t>Considering that the company Pharma-Lab argues that since December 1999, Medisense France has reported global supply difficulties for the aforementioned product; that the company Pharma-Lab ordered significant quantities of the product Medisense precision Plus 100 EL from distributing wholesalers and received delivery within the time frames consistent with those of the profession; that the departmental directorate for competition, consumption, and fraud repression of Bas-Rhin, seized of these practices, conducted an investigation and found that Medisense France was experiencing supply difficulties that were expected to be resolved by early May 2000; that, however, despite the compliance of the orders with the forecast schedule (15,000 units/month), delivery delays persist;</w:t>
      </w:r>
    </w:p>
    <w:p>
      <w:r>
        <w:t>Considering that the laboratory Novartis Pharma SA distributes, among others, the medication Lamisil divisible tablet 250 mg box of 28, which is used in the treatment of onychomycosis, mycoses, and cutaneous candidiasis, and the medication Gestoral divisible tablet 10 mg box of 14 used in the treatment of disorders related to luteal insufficiency, particularly menopause in conjunction with estrogenic treatment;</w:t>
      </w:r>
    </w:p>
    <w:p>
      <w:r>
        <w:t>Considering that the company Pharma-Lab indicates that since November 1999, the product Lamisil has been delivered to it late, with delivery times for certain orders of 91 days; that Novartis Pharma justified these delivery times by production constraints and supply tensions and required that orders be sent to it four months in advance, a requirement not imposed on distributing wholesalers; that these excessively long times led to order cancellations; that ultimately, in April 2000, Novartis Pharma released the balance of the Lamisil orders; that, moreover, on May 5, 2000, she placed an order for 7,040 boxes of Gestoral with Novartis Pharma; that the laboratory only delivered her 100 boxes, merely informing her that it could not control the production of this product; that, faced with these difficulties, she ordered 200 boxes of Gestoral from a distributing wholesaler (CERP Rouen), which delivered them within the requested time frames;</w:t>
      </w:r>
    </w:p>
    <w:p>
      <w:r>
        <w:t>Considering that the laboratory Pfizer distributes, among others, the medication Amlor capsule 5 mg box of 30, used for the preventive treatment of angina pectoris attacks and arterial hypertension, and the medication Zithromax gel 250 mg box of 6, whose indications are limited to infections caused by germs defined as sensitive (angina, superinfections of acute bronchitis);</w:t>
      </w:r>
    </w:p>
    <w:p>
      <w:r>
        <w:t>Considering that the company Pharma-Lab argues that, on April 15, 1999, it placed an order for 480 boxes of Amlor 5 mg Gelu 30 with Pfizer, which, by letter dated May 4, 1999, responded, without further details, that it could not fulfill this request; that, not having access to this specific product, it could not position itself in the market, its clients having turned to other wholesalers; that, moreover, on April 26, 2000, it placed an order with this same laboratory for Zithromax; that, by fax dated April 27, 2000, it was asked to specify the destination; that, ultimately, following its efforts, notably with the Directorate General for Competition, Consumption, and Fraud Repression, it received delivery of the ordered Zithromax within time frames consistent with the practices of the profession;</w:t>
      </w:r>
    </w:p>
    <w:p>
      <w:r>
        <w:t>Considering that the company Pharma-Lab claims that the aforementioned laboratories have colluded to hinder the free play of competition in the European pharmaceutical market; that the parallelism of their behaviors cannot be explained either by the operating conditions of the market or by the pursuit of the individual interest of each of them; that it requests the Competition Council to ascertain the existence of anti-competitive practices contrary to Article 7 of the ordinance of December 1, 1986, now Article L 420-1 of the Commercial Code, and to Article 81 of the Treaty of Rome;</w:t>
      </w:r>
    </w:p>
    <w:p>
      <w:r>
        <w:t>2. - The substantive defense of the laboratories</w:t>
        <w:br/>
        <w:t>Considering that the laboratories Lilly, Medisense France, Novartis Pharma, and Boehringer Ingelheim claim that the behaviors in question are individual behaviors that fall under commercial litigation; that, moreover, the laboratories Lilly, Glaxo Wellcome, Boehringer, and Pfizer argue that there is an absence of parallelism in their behavior, as the actions denounced do not concern the same products and fall a priori under distinct markets;</w:t>
      </w:r>
    </w:p>
    <w:p>
      <w:r>
        <w:t>Considering that the laboratory Lilly observes that, despite a period of tension between November and mid-December 1999 regarding Zyprexa, a specialty that had just been launched in June 1999, all orders had been fulfilled; that following the implementation of a new supply management system, the situation is satisfactory, with only one order from Pharma-Lab not having been delivered;</w:t>
      </w:r>
    </w:p>
    <w:p>
      <w:r>
        <w:t>Considering that the laboratory Wyeth Lederlé notes that, now, there are no longer any punctual delivery delays; it adds that the request made to the company Pharma-Lab to justify compliance with the procedures related to product traceability was legitimate; that having received purchase orders for Soprol products destined for the Dom-Tom, while a wholesaler for export is not authorized to resell pharmaceutical products on national territory, it had to verify that the company Pharma-Lab was complying with the regulations;</w:t>
      </w:r>
    </w:p>
    <w:p>
      <w:r>
        <w:t>Considering that the laboratory Ferring argues that the increase it proposed on the manufacturer's price excluding tax is explained by the coverage of transportation and de-labeling costs of the products; that moreover, its</w:t>
      </w:r>
    </w:p>
    <w:p>
      <w:r>
        <w:rPr>
          <w:b/>
        </w:rPr>
        <w:t>[Pages 7–9]</w:t>
      </w:r>
    </w:p>
    <w:p>
      <w:r>
        <w:t xml:space="preserve">it was required to verify that the company Pharma-Lab was complying with the regulations;  </w:t>
        <w:br/>
        <w:t xml:space="preserve">Considering that the laboratory Ferring argues that the increase it proposed on the manufacturer's price excluding tax is explained by the coverage of transportation and de-labeling costs; that moreover, its contractual relations with Pharma-Lab normalized by the end of October 1999 and that it was from June 20, 2000, that Pharma-Lab resumed its orders with its services, all orders being fulfilled;  </w:t>
        <w:br/>
        <w:t xml:space="preserve">Considering that the laboratory Leo France invokes the absence of payment for its orders by Pharma-Lab to justify their non-delivery;  </w:t>
        <w:br/>
        <w:t xml:space="preserve">Considering that the laboratory Glaxo Wellcome asserts that its difficult relations with Pharma-Lab are due to numerous factors, namely the public health constraints that led it to deliver to all distributing wholesalers, the opportunistic commercial policy of Pharma-Lab linked to the demand of its European clients, and the specific requirements of Pharma-Lab which requests products from the same batch accompanied by a single analysis report;  </w:t>
        <w:br/>
        <w:t xml:space="preserve">Considering that the laboratory Medisense France observes that the delivery delays which were justified by supply difficulties have been resolved; that as of August 24, 2000, no order from Pharma-Lab was outstanding;  </w:t>
        <w:br/>
        <w:t xml:space="preserve">Considering that the laboratory Boehringer Ingelheim argues that Pharma-Lab has received treatment at least as favorable as that reserved for other exporting wholesalers, such as Atrovent or Combivent; that it asserts that stockout situations are the cause of partial deliveries; that OCP Répartition SAS, a distributing wholesaler, has faced the same problems with available stocks; that, regarding its payment terms, the new deadlines apply to all clients, except for OCP Gehe, due to its purchase volumes; that it is the decrease in purchases intended for sales outside the EU by Pharma-Lab that explains the withdrawal of the 5% discount; that concerning the product Caldine, there is no significant delivery problem;  </w:t>
        <w:br/>
        <w:t xml:space="preserve">Considering, finally, that the laboratory Novartis Pharma argues that it is confronted with two specific markets, one constituted by the demand of distributing wholesalers and the other constituted by the demand of exporters; that specific constraints are imposed on distributing wholesalers, namely the continuity of supply of medicines while the demand from exporters is unpredictable; that, however, there is currently no supply problem with Lamisil; that supply issues with Gestoral disrupt deliveries for all operators;  </w:t>
        <w:br/>
        <w:t xml:space="preserve">3. - The admissibility of the referral  </w:t>
        <w:br/>
        <w:t xml:space="preserve">Considering that the laboratories Glaxo Wellcome and Novartis Pharma raise the issue of territorial incompetence of the Competition Council to hear the practices denounced, insofar as these do not affect competition in the national territory;  </w:t>
        <w:br/>
        <w:t xml:space="preserve">But considering that the provisions of Community law are directly applicable by the Member States; that the Court of Justice of the European Communities clarified in its judgment Simmenthal of March 9, 1978, that "the national judge responsible for applying, within the scope of his competence, the provisions of Community law, has the obligation to ensure the full effect of these standards by leaving, if necessary, inapplicable, on his own authority, any contrary provision of national legislation...."; that the Competition Council, which has received competence under Article L 470-6 of the Commercial Code to apply Articles 81 and 82 of the Treaty of Rome, must therefore ensure the full effect of these provisions; that these are applicable if the anti-competitive practices in question are likely to affect trade between Member States; that it follows that the Competition Council is competent to apply these standards to practices likely to affect trade between Member States and which have the object or effect of preventing, restricting, or distorting competition within the common market, even if these practices have no effect on French territory; that thus, the Council considered in its decision No. 97-D-68 regarding practices identified in the sector of radiographic films and films intended for industrial graphic arts that the practices denounced, if they had not had anti-competitive effects or objects on national territory, were contrary to the provisions of Article 85-1 of the Treaty of Rome and could, as such, be sanctioned by it;  </w:t>
        <w:br/>
        <w:t xml:space="preserve">On the application of Articles L 420-1 and L 420-2 of the Commercial Code  </w:t>
        <w:br/>
        <w:t xml:space="preserve">Considering that the alleged practices concern the delivery of pharmaceutical products intended for export; that, therefore, these practices, even if established, are not likely to affect the French market and are not covered by the provisions of Articles L 420-1 and L 420-2 of the Commercial Code;  </w:t>
        <w:br/>
        <w:t xml:space="preserve">On the application of Articles 81 and 82 of the Treaty of Rome  </w:t>
        <w:br/>
        <w:t xml:space="preserve">Considering that the pharmaceutical products purchased by the company Pharma-Lab are intended to be exported to other States of the European Union; that anti-competitive practices that would disrupt this activity would affect trade between Member States and would therefore, if established, be likely to fall under the prohibitions set forth in Articles 81 and 82 of the Treaty of Rome;  </w:t>
        <w:br/>
        <w:t xml:space="preserve">Considering that the company Pharma-Lab alleges that it has experienced difficulties in receiving deliveries and that the commercial conditions applied to it have undergone changes that it considers unfavorable from nine laboratories between the end of 1998 and the beginning of 2000; that, in this state, it cannot be excluded that the difficulties faced by this company result from a tacit or express agreement among the aforementioned laboratories to oppose the export of pharmaceutical products in order to reduce price competition in the common market; that, moreover, it cannot be excluded that some of the laboratories involved hold a dominant position in the market for a medicine for which there is no substitute, nor that the company Pharma-Lab is a victim of discrimination by these laboratories, having the object or effect of limiting competition in the common market and hindering trade between Member States; that it follows from the above that the referral is not inadmissible;  </w:t>
        <w:br/>
        <w:t xml:space="preserve">On the request for interim measures,  </w:t>
        <w:br/>
        <w:t xml:space="preserve">Considering that, in addition to its referral, the company Pharma-Lab requests the Competition Council to order, pursuant to Article L 464-1 of the Commercial Code, the following interim measures: that the laboratories be ordered to return, for the execution of ongoing orders, to the state prior to the anti-competitive practices, namely to deliver to it all the pharmaceutical products it orders within deadlines consistent with industry practices; that the laboratories be ordered to deliver the quantities of products ordered that have not been delivered; that the laboratories be ordered to cease all measures of quota on the pharmaceutical orders it has placed;  </w:t>
        <w:br/>
        <w:t xml:space="preserve">Considering that under Article L 464-1 of the Commercial Code: "The Competition Council may, after hearing the parties involved and the Government Commissioner, take the interim measures requested by the minister responsible for the economy, by the persons mentioned in the second paragraph of Article L 462-1 or by the companies. These measures can only be taken if the denounced practice causes serious and immediate harm to the general economy, to that of the sector concerned, to the interest of consumers or to the complaining company. They may involve the suspension of the practice concerned as well as an injunction to the parties to return to the previous state. They must remain strictly limited to what is necessary to address the urgency...";  </w:t>
        <w:br/>
        <w:t xml:space="preserve">Considering that the company Pharma-Lab claims that the practices implemented by the pharmaceutical laboratories cause it financial and commercial harm; that it also argues that these practices compel it, to partially meet the most urgent orders from its European clients, to source from distributing wholesalers whose prices are higher than those of the laboratories; that finally, the practices it denounces lead to order cancellations from its foreign clients who turn to other suppliers;  </w:t>
        <w:br/>
        <w:t xml:space="preserve">Considering, first, that the company Pharma-Lab provides no evidence regarding the harm that would be caused to the general economy, to the economy of the sector, and to the interest of consumers;  </w:t>
        <w:br/>
        <w:t xml:space="preserve">Considering, secondly, that the referring party invokes a loss of turnover for the year 1999 amounting to 272,258,975 F, or only 269,270,497 F if the share of turnover not delivered by the laboratory UPSA, against which the referral has been withdrawn, is subtracted; that it claims that it is also possible that it loses potential markets; that furthermore, it would be compelled to source sporadically, at more expensive conditions from distributing wholesalers; that finally, some of its clients would have canceled their orders;  </w:t>
        <w:br/>
        <w:t>But considering that a loss of earnings, assuming it is demonstrated, is insufficient on its own to characterize the serious and immediate harm justifying the issuance of emergency measures; that moreover, the balance sheets and income statements provided by the company Pharma-Lab establish that, for the fiscal years 96/97, 97/98, 98/99, its total turnover is increasing; that these fiscal years are profitable, with profits themselves increasing; that concerning the period after September 30, 1999, the closing date of the last completed fiscal year, it only provides projections of annual turnover losses due to non-delivery and reports the price supplements it must pay per product when sourcing from distributing wholesalers and lost orders; that these elements, which do not provide any indication of the company's situation, are not sufficient to establish that the practices it denounces cause it serious and immediate harm necessitating the adoption of emergency measures;</w:t>
      </w:r>
    </w:p>
    <w:p>
      <w:r>
        <w:rPr>
          <w:b/>
        </w:rPr>
        <w:t>[Pages 10–10]</w:t>
      </w:r>
    </w:p>
    <w:p>
      <w:r>
        <w:t xml:space="preserve">Considering, consequently, that the request for interim measures registered under number M 273 must be rejected,  </w:t>
        <w:br/>
        <w:t xml:space="preserve">Decides:  </w:t>
        <w:br/>
        <w:t xml:space="preserve">Article 1: The company Pharma-Lab is acknowledged for the withdrawal of its application against the laboratory UPSA;  </w:t>
        <w:br/>
        <w:t xml:space="preserve">Article 2: The request for interim measures registered under number M 273 is rejected.  </w:t>
        <w:br/>
        <w:t xml:space="preserve">Deliberated, on the oral report of Ms. de Mallmann, by Mr. Jenny, vice-president, presiding over the session, Ms. Flüry-Herard, Messrs. Nasse and Robin, members.  </w:t>
        <w:br/>
        <w:t xml:space="preserve">The secretary of the session, The vice-president,  </w:t>
        <w:br/>
        <w:t xml:space="preserve">presiding over the session,  </w:t>
        <w:br/>
        <w:t xml:space="preserve">Patricia Perrin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