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https://www.autoritedelaconcurrence.fr/fr/decision/relative-une-saisine-presentee-par-la-societe-segard</w:t>
      </w:r>
    </w:p>
    <w:p>
      <w:r>
        <w:t>Pages translated : 5</w:t>
      </w:r>
    </w:p>
    <w:p/>
    <w:p>
      <w:r>
        <w:rPr>
          <w:b/>
        </w:rPr>
        <w:t>[Pages 1–3]</w:t>
      </w:r>
    </w:p>
    <w:p>
      <w:r>
        <w:t xml:space="preserve">FRENCH REPUBLIC  </w:t>
        <w:br/>
        <w:t xml:space="preserve">Decision No. 08-D-01 of January 18, 2008  </w:t>
        <w:br/>
        <w:t xml:space="preserve">regarding a referral presented by the Segard company  </w:t>
        <w:br/>
        <w:t xml:space="preserve">The Competition Council (permanent commission),  </w:t>
        <w:br/>
        <w:t xml:space="preserve">Having regard to the letter, registered on December 19, 2006, under number 06/0101 F, by which the Segard company referred to the Competition Council an offer presented by the departmental directorate of equipment of Gard during a call for tenders launched on December 13, 2005, by the Dr. Paul Gâche Hospital Center, in Villeneuve les Avignon, regarding a project management assistance mission for the construction of a residential facility for dependent elderly persons;  </w:t>
        <w:br/>
        <w:t xml:space="preserve">Having regard to Book IV of the Commercial Code relating to price freedom and competition;  </w:t>
        <w:br/>
        <w:t xml:space="preserve">Having regard to the documents in the file;  </w:t>
        <w:br/>
        <w:t xml:space="preserve">The rapporteur, the deputy general rapporteur, the Government commissioner, and the representative of the Segard company heard during the session of January 9, 2008;  </w:t>
        <w:br/>
        <w:t>Adopts the following decision:</w:t>
      </w:r>
    </w:p>
    <w:p>
      <w:r>
        <w:t xml:space="preserve">I. The Referral  </w:t>
        <w:br/>
        <w:t xml:space="preserve">1. The Dr. Paul Gâche Hospital Center issued a call for tenders on December 13, 2005, to select a candidate for a project management assistance mission related to the construction of a residential facility for dependent elderly persons;  </w:t>
        <w:br/>
        <w:t xml:space="preserve">2. The mission notably consisted of: "... a general assistance mission to the project owner of an administrative, financial, and technical nature covering the services designated below. It includes, for all phases constituting the mission, assistance in managing the project owner's construction project, including notably:  </w:t>
        <w:br/>
        <w:t xml:space="preserve">- Time management;  </w:t>
        <w:br/>
        <w:t xml:space="preserve">- Project reviews: milestone and validation points;  </w:t>
        <w:br/>
        <w:t xml:space="preserve">- Cost management: monitoring and evolution of the provisional budget."  </w:t>
        <w:br/>
        <w:t>3. According to the complainant, the departmental directorate of equipment of Gard (hereinafter "DDE du Gard") would have presented an offer at an "abnormally low price." Consequently, the Segard company referred to the Council on the basis of Article L. 420-5 of the Commercial Code.</w:t>
      </w:r>
    </w:p>
    <w:p>
      <w:r>
        <w:t xml:space="preserve">II. Discussion  </w:t>
        <w:br/>
        <w:t xml:space="preserve">4. Article L. 420-5 of the Commercial Code prohibits "offers of prices or pricing practices to consumers that are abnormally low compared to production, transformation, and marketing costs, provided that these offers or practices have the object or may have the effect of eliminating a company or one of its products from a market or preventing access to a market (...)."  </w:t>
        <w:br/>
        <w:t xml:space="preserve">5. As the Council recalled in decision No. 06-D-23 of July 21, 2006, "the qualification of abnormally low prices requires the fulfillment of three cumulative conditions: first, the price in question must be a selling price to the consumer; second, the proposed price level must be insufficient in relation to production, transformation, and marketing costs (...); third, the price practiced must reflect a will to evict or must contain a potential for eviction of the competitor or the competing product (...)."  </w:t>
        <w:br/>
        <w:t xml:space="preserve">6. Regarding the first condition, the Paris Court of Appeal, in a ruling of July 3, 1998 (Société moderne d’assainissement et de nettoiement), defined the notion of "consumer" as "the natural or legal person who, without particular experience in the field in which they contract, acts for the satisfaction of their personal needs and uses the acquired product or service solely for this purpose." In the same ruling, the Court of Appeal specified that the "requirement (imposed on those responsible for awarding contracts to analyze the composition of bids, including abnormally low prices), implies a technical competence in the field in which it operates, presumed by law, which is incompatible with the notion of 'consumer' within the meaning of Article (L. 420-5 of the Commercial Code) and excludes the application of this text in the context of public procurement."  </w:t>
        <w:br/>
        <w:t xml:space="preserve">7. The Segard company stated in its referral and during the session that the two characteristics defining a "consumer" were met in this case, since the hospital center considered entering into a project management assistance contract for its own needs and with the assistance of a third party, thus demonstrating that it was inexperienced in this area. The Segard company concludes that the hospital center should be equated to a consumer for the application of Article L. 420-5 of the Commercial Code.  </w:t>
        <w:br/>
        <w:t xml:space="preserve">8. In this case, the hospital center issued a call for tenders for a project management assistance mission, a mission related to the construction of a residential facility for dependent elderly persons. While this request indeed aims to satisfy the hospital center's own needs, the documents in the file demonstrate that it was not devoid of the technical skills whose possession excludes, according to the case law of the Court of Appeal, the notion of "consumer."  </w:t>
        <w:br/>
        <w:t xml:space="preserve">9. It follows from reading the public call for competition that the hospital center itself prepared an administrative and technical study file on the construction project, which it made available to candidates for the submission of their applications. Similarly, it established, for the call for tenders in question, a specifications document and a document of administrative clauses that detail the services as well as the definition of the criteria that will allow for the selection of candidates.  </w:t>
        <w:br/>
        <w:t xml:space="preserve">10. Finally, the hospital center communicated the evaluation table of the nine offers received in the form of points awarded based on four "award criteria": price of services, technical capacity, references, and content of the offer. The detailed assessment made by the hospital center on each of the proposed offers necessarily implies specific capacities and skills in the field concerned by its request.  </w:t>
        <w:br/>
        <w:t xml:space="preserve">11. It can thus be observed that the hospital center analyzed the level and quality of the services proposed in their various components. For example, for Segard, it was able to make assessments on the references presented, on the management tools for operations, on the methodological framework of studies and works, on the quality of the resumes of the intervening persons, or on compliance with the four technical phases. Regarding the DDE's offer, it notes "classic and complete DDE file," which indicates that the hospital center has already had the opportunity to examine application files from the DDE and, thereby, that it has experience in these areas.  </w:t>
        <w:br/>
        <w:t>12. All of these factual elements do not establish that the hospital center was "without particular experience in the field in which it contracts." Certainly, its request for assistance reveals that the hospital center may be considered "without particular experience" concerning the future contract for the construction of the residential facility; but its analysis of the proposals for project management assistance, the sole object of this contract, demonstrates its capacity and experience in selecting this assistance.</w:t>
      </w:r>
    </w:p>
    <w:p>
      <w:r>
        <w:rPr>
          <w:b/>
        </w:rPr>
        <w:t>[Pages 4–5]</w:t>
      </w:r>
    </w:p>
    <w:p>
      <w:r>
        <w:t>13. Consequently, regarding the selection of a candidate for the execution of the mission in question, the hospital center cannot be equated to a consumer within the meaning of Article L. 420-5 of the Commercial Code. The conditions recalled in paragraph 5 being cumulative, the referral to the Segard company is inadmissible for this reason alone.</w:t>
      </w:r>
    </w:p>
    <w:p>
      <w:r>
        <w:t>14. Concerning the third condition, additionally, the Council recalled in its decision No. 03-D-62 of December 18, 2003, that "even assuming that predation is established (...), (the) criterion (of selling below variable cost) cannot be applied when a price is only episodically below the average variable cost; (...) furthermore, the existence of a predatory strategy must be credible in light of the context and notably in light of the market share held by the company in question in the relevant market."</w:t>
      </w:r>
    </w:p>
    <w:p>
      <w:r>
        <w:t>15. However, in this case, the referring party provides no evidence allowing the Council to assess whether the behavior of the DDE du Gard, observed during the only call for tenders in question, is likely to produce an exclusion effect on the general market "where all operators capable of responding to the relevant call for tenders are active" (decisions No. 01-D-08, No. 01-D-46, and No. 01-D-66), namely in this case the market for "mandates and project management" (according to the reference file of the Segard company), where the DDE du Gard, Segard, and the seven other candidates who submitted bids are active, with the Segard company limiting itself to stating the abusively low nature of the prices practiced by the DDE du Gard for the instant public market in question.</w:t>
      </w:r>
    </w:p>
    <w:p>
      <w:r>
        <w:t>16. On the contrary, the Council notes that it appears from the file, on the one hand, that the turnover of the Segard company increased from €22 million to €32 million between 2002 and 2004, without it being established that it decreased due to the alleged behavior, and on the other hand, that the Segard company provided numerous references in support of its application for the call for tenders in question for the period 1998-2005, with multiple project owners (General Council of Gard, municipalities, unions or communities of municipalities, hospital establishments, and nursing homes) and that it provides no evidence demonstrating that its activity with these project owners would have been affected by the behavior of the DDE du Gard during the call for tenders in question, nor even during other calls for tenders in which it participated concurrently with the DDE.</w:t>
      </w:r>
    </w:p>
    <w:p>
      <w:r>
        <w:t>17. It follows from the above that no evidence of an exclusion strategy is included in the file, a necessary condition both to establish a practice of abusively low prices and to characterize a predatory pricing practice constituting an abuse of dominant position, especially since, regarding this second possibility, the referral contains no evidence relating to the position of the DDE du Gard in a relevant market.</w:t>
      </w:r>
    </w:p>
    <w:p>
      <w:r>
        <w:t>18. Consequently, it is appropriate to apply the provisions of Article L. 462-8 of the Commercial Code and to reject the referral, which is not supported by credible evidence.</w:t>
      </w:r>
    </w:p>
    <w:p>
      <w:r>
        <w:t>DECISION</w:t>
        <w:br/>
        <w:t xml:space="preserve">Single Article: The referral registered under number 06/0101 F is declared inadmissible. </w:t>
        <w:br/>
        <w:t xml:space="preserve">Deliberated, on the oral report of Mr. Komiha, by Mr. Nasse, Vice-President, presiding over the session and Ms. Aubert and Ms. Perrot, Vice-Presidents. </w:t>
        <w:br/>
        <w:t xml:space="preserve">The session secretary, The Vice-President, </w:t>
        <w:br/>
        <w:t xml:space="preserve">Véronique Letrado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