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https://www.autoritedelaconcurrence.fr/fr/decision/relative-une-saisine-presentee-par-la-societe-serc-concernant-le-marche-des-radios</w:t>
      </w:r>
    </w:p>
    <w:p>
      <w:r>
        <w:t>Pages translated : 2</w:t>
      </w:r>
    </w:p>
    <w:p/>
    <w:p>
      <w:r>
        <w:rPr>
          <w:b/>
        </w:rPr>
        <w:t>[Pages 1–2]</w:t>
      </w:r>
    </w:p>
    <w:p>
      <w:r>
        <w:t xml:space="preserve">FRENCH REPUBLIC  </w:t>
        <w:br/>
        <w:t xml:space="preserve">Decision No. 95-D-08 of January 24, 1995  </w:t>
        <w:br/>
        <w:t xml:space="preserve">concerning a referral submitted by the company S.E.R.C regarding  </w:t>
        <w:br/>
        <w:t>the national radio market</w:t>
      </w:r>
    </w:p>
    <w:p>
      <w:r>
        <w:t>The Competition Council (section 1),</w:t>
      </w:r>
    </w:p>
    <w:p>
      <w:r>
        <w:t>Having regard to the letter registered on April 22, 1994, under number F 674, by which the company Radio Chic (S.E.R.C.) referred the Competition Council to practices by the companies NRJ and Chérie FM;</w:t>
      </w:r>
    </w:p>
    <w:p>
      <w:r>
        <w:t>Having regard to Ordinance No. 86-1243 of December 1, 1986, as amended, relating to the freedom of prices and competition, and Decree No. 86-1309 of December 29, 1986, as amended, adopted for its application;</w:t>
      </w:r>
    </w:p>
    <w:p>
      <w:r>
        <w:t>Having regard to Law No. 86-1067 of September 30, 1986, as amended, relating to the freedom of communication;</w:t>
      </w:r>
    </w:p>
    <w:p>
      <w:r>
        <w:t>Having regard to the opinion of the Higher Audiovisual Council dated October 11, 1994;</w:t>
      </w:r>
    </w:p>
    <w:p>
      <w:r>
        <w:t>Having regard to the other documents in the file;</w:t>
      </w:r>
    </w:p>
    <w:p>
      <w:r>
        <w:t>The rapporteur, the general rapporteur, the Government commissioner, and the company S.E.R.C. heard;</w:t>
      </w:r>
    </w:p>
    <w:p>
      <w:r>
        <w:t>Considering that the company S.E.R.C., which operates a set of production and broadcasting services for radio programs under the brand Fun Radio, argues, firstly, that the companies NRJ and Chérie FM have abused their dominant position in the market for national music radio, and secondly, that the multiplication of requests for frequency allocations under their respective brands would constitute a practice prohibited by the provisions of Article 7 of the ordinance of December 1, 1986;</w:t>
      </w:r>
    </w:p>
    <w:p>
      <w:r>
        <w:t>Considering that under the terms of Article 19 of the ordinance of December 1, 1986: 'The Competition Council may declare, by reasoned decision, the referral inadmissible if it considers that the facts invoked do not fall within the scope of its competence or are not supported by sufficiently probative elements';</w:t>
      </w:r>
    </w:p>
    <w:p>
      <w:r>
        <w:t>Considering that the freedom to submit an application in the context of calls opened by the Higher Audiovisual Council constitutes one of the conditions for achieving the objective of pluralism defined by Article 29 of the law of September 30, 1986;</w:t>
      </w:r>
    </w:p>
    <w:p>
      <w:r>
        <w:t>Considering that the referring party merely indicates that the companies NRJ and Chérie FM account for approximately one third of the national radio market and that this position is enhanced by the obtaining of new frequencies which could confer upon them a preeminent position in a number of geographical areas, which would abusively restrict access to the market for other candidates; that it does not provide any element to establish that the companies NRJ and Chérie FM, even assuming they are in a dominant position in a market, have abused this position by engaging in practices prohibited by the provisions of paragraph 1 of Article 8 of the ordinance of December 1, 1986;</w:t>
      </w:r>
    </w:p>
    <w:p>
      <w:r>
        <w:t>Considering that while the referring party also claims that the companies NRJ and Chérie FM request, under their respective brands, frequency allocations from the Higher Audiovisual Council under Articles 28 and 29 of the amended law of September 30, 1986, by engaging in practices prohibited by Article 7 of the ordinance of December 1, 1986, it does not provide any element to support this allegation;</w:t>
      </w:r>
    </w:p>
    <w:p>
      <w:r>
        <w:t>Considering that it does not fall to the Competition Council to rule on the decisions by which the Higher Audiovisual Council grants or renews authorizations for the use of radio frequencies in application of the law of September 30, 1986;</w:t>
      </w:r>
    </w:p>
    <w:p>
      <w:r>
        <w:t>Considering that it follows from the above that the referral submitted by the company S.E.R.C. is inadmissible,</w:t>
      </w:r>
    </w:p>
    <w:p>
      <w:r>
        <w:t xml:space="preserve">Decides:  </w:t>
        <w:br/>
        <w:t>Unique Article. - The referral registered under number F 674 is declared inadmissible.</w:t>
      </w:r>
    </w:p>
    <w:p>
      <w:r>
        <w:t>Deliberated, on the oral report of Mr. Bernard Lavergne, by Messrs. Cortesse, Vice-President, presiding over the session, Marleix, Rocca, Sloan, members.</w:t>
      </w:r>
    </w:p>
    <w:p>
      <w:r>
        <w:t xml:space="preserve">The substitute general rapporteur, The Vice-President, presiding over the session  </w:t>
        <w:br/>
        <w:t xml:space="preserve">Marie Picard Pierre Cortesse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