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https://www.autoritedelaconcurrence.fr/fr/decision/relative-une-saisine-presentee-par-la-societe-time-and-diamond</w:t>
      </w:r>
    </w:p>
    <w:p>
      <w:r>
        <w:t>Pages translated : 2</w:t>
      </w:r>
    </w:p>
    <w:p/>
    <w:p>
      <w:r>
        <w:rPr>
          <w:b/>
        </w:rPr>
        <w:t>[Pages 1–2]</w:t>
      </w:r>
    </w:p>
    <w:p>
      <w:r>
        <w:t xml:space="preserve">COMPETITION COUNCIL  </w:t>
        <w:br/>
        <w:t xml:space="preserve">Decision No. 00-D-72 of January 16, 2001  </w:t>
        <w:br/>
        <w:t xml:space="preserve">concerning a referral submitted by the Company Time and Diamond  </w:t>
        <w:br/>
        <w:t xml:space="preserve">The Competition Council (permanent commission)  </w:t>
        <w:br/>
        <w:t xml:space="preserve">Having regard to the letter registered on October 18, 1999, under number F 1177, by which the Company Time and Diamond (TAD) referred to the Competition Council practices implemented in the watchmaking sector;  </w:t>
        <w:br/>
        <w:t xml:space="preserve">Having regard to Book IV of the Commercial Code and Decree No. 86-1309 of December 29, 1986, as amended, adopted for the application of Ordinance No. 86-1243 of December 1, 1986;  </w:t>
        <w:br/>
        <w:t xml:space="preserve">Having regard to the observations presented by the companies TAD and Seiko France and by the Government Commissioner;  </w:t>
        <w:br/>
        <w:t xml:space="preserve">The rapporteur, the general rapporteur, the Government Commissioner, and the representatives of the companies TAD and Seiko France heard during the session of November 15, 2000;  </w:t>
        <w:br/>
        <w:t xml:space="preserve">Adopts the decision based on the findings (I) and the reasons (II) set out below,  </w:t>
        <w:br/>
        <w:t xml:space="preserve">I. - Findings  </w:t>
        <w:br/>
        <w:t xml:space="preserve">By contract dated May 10, 1982, Hattori Seiko Corporation Ltd entrusted Compagnie Générale Horlogerie (hereinafter CGH) with the exclusive distribution, notably in France, of products of the Seiko brand; in 1996, the benefit of this exclusivity was transferred to Seiko France, a 100% subsidiary of Hattori; by contract dated February 20, 1996, CGH indeed transferred all its assets to Seiko France, which thus succeeds to the rights of the transferor;  </w:t>
        <w:br/>
        <w:t xml:space="preserve">Seiko France markets Seiko products through authorized distributors chosen based on qualitative criteria (the selective distribution agreement was notified to the European Commission and received a classification letter dated June 30, 1989), but Seiko products are also resold in a parallel network through distributors not belonging to the network of authorized distributors; these distributors, among which is TAD, are supplied with Seiko products; TAD argues, on the one hand, that the Seiko group cannot, without violating the provisions of Article L. 420-1 of the Commercial Code, choose to have a selective distribution of its products carried out by Seiko France and, on the other hand, directly supply a parallel distribution network from Japan; it further argues that Seiko France also disregards these provisions by selling its products in the so-called "non-official" network under discriminatory conditions, as it refuses, in this case, to transmit the international warranty certificates attached to the watches it sells in its so-called selective network;  </w:t>
        <w:br/>
        <w:t xml:space="preserve">Based on these findings, a complaint of vertical agreement was notified to Seiko France.  </w:t>
        <w:br/>
        <w:t xml:space="preserve">II. – Based on the preceding findings, the Council,  </w:t>
        <w:br/>
        <w:t xml:space="preserve">Considering, first, that it is permissible for Seiko France to freely determine the distribution conditions of its products and to have multiple categories of distributors coexist within its distribution network according to the type of commercial relationships it maintains with them, provided that this does not result in any anti-competitive discrimination;  </w:t>
        <w:br/>
        <w:t xml:space="preserve">Considering, second, that the existence of a dual distribution system is not, in itself, anti-competitive since it allows consumers to benefit from a more abundant and diversified offer;  </w:t>
        <w:br/>
        <w:t xml:space="preserve">Considering that the referring party argues that the parallel network is supplied by the Seiko group itself; thus, the group would have chosen to deliver, on the one hand, watches benefiting from the international warranty to its network of authorized distributors and, on the other hand, watches not benefiting from the international warranty to the parallel network; such a practice, assuming it is established, does not constitute a discriminatory practice; indeed, the two categories of distributors are not placed in equivalent situations; thus, authorized distributors must meet selection criteria, while distributors in the parallel network are not subject to the same obligations; therefore, distributing products with different characteristics in different networks does not, in itself, constitute an anti-competitive practice;  </w:t>
        <w:br/>
        <w:t xml:space="preserve">Considering, finally, that Seiko France, according to the written observations of the Government Commissioner, holds barely more than 10% of the "mid-range" segment of the watchmaking market; furthermore, no element of the file suggests that the referring party would be in a situation of economic dependence on Seiko France;  </w:t>
        <w:br/>
        <w:t xml:space="preserve">Considering that it follows from the above that it is not established that the practices denounced by TAD constitute anti-competitive practices referred to in Articles L. 420-1 or L. 420-2 of the Commercial Code,  </w:t>
        <w:br/>
        <w:t xml:space="preserve">DECIDES  </w:t>
        <w:br/>
        <w:t xml:space="preserve">Sole Article: It is not established that Seiko France has violated the provisions of Articles L. 420-1 or L. 420-2 of the Commercial Code.  </w:t>
        <w:br/>
        <w:t xml:space="preserve">Deliberated, on the oral report of Mr. Arhel, by Ms. Hagelsteen, president, Ms. Pasturel and Mr. Jenny, vice-presidents.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