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https://www.autoritedelaconcurrence.fr/fr/decision/relative-une-saisine-presentee-par-me-mortelecque-representant-m-rebergue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98-D-40 of June 16, 1998  </w:t>
        <w:br/>
        <w:t xml:space="preserve">regarding a referral submitted by Mr. Mortelecque, representing Mr. Rebergue  </w:t>
        <w:br/>
        <w:t xml:space="preserve">The Council of Competition (permanent commission),  </w:t>
        <w:br/>
        <w:t xml:space="preserve">Having regard to the letter registered on November 24, 1997, under number F 995, by which Mr. Mortelecque, representing Mr. Alain Rebergue, referred to the Council of Competition practices in the sector of horizontal road signage, which he considers anti-competitive;  </w:t>
        <w:br/>
        <w:t xml:space="preserve">Having regard to Ordinance No. 86-1243 of December 1, 1986, as amended, relating to the freedom of prices and competition and Decree No. 86-1309 of December 29, 1986, as amended, adopted for its application;  </w:t>
        <w:br/>
        <w:t xml:space="preserve">Having regard to the letter from Mr. Mortelecque registered on April 9, 1998;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letter of April 9, 1998 mentioned above, Mr. Mortelecque, acting on behalf of Mr. Rebergue, declared to withdraw his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Article: The file registered under number F 995 is closed.  </w:t>
        <w:br/>
        <w:t xml:space="preserve">Deliberated, on the oral report of Mr. Philippe Komiha, by Mr. Barbeau, president, Mr. Cortesse, vice-president, and Mr. Rocca, member, designated in replacement of Mr. Jenny, vice-president, prevented.  </w:t>
        <w:br/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