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https://www.autoritedelaconcurrence.fr/fr/decision/relative-une-saisine-presentee-par-monsieur-x-lencontre-des-pratiques-de-la-societe-orange</w:t>
      </w:r>
    </w:p>
    <w:p>
      <w:r>
        <w:t>Pages translated : 2</w:t>
      </w:r>
    </w:p>
    <w:p/>
    <w:p>
      <w:r>
        <w:rPr>
          <w:b/>
        </w:rPr>
        <w:t>[Pages 1–2]</w:t>
      </w:r>
    </w:p>
    <w:p>
      <w:r>
        <w:t xml:space="preserve">COMPETITION COUNCIL  </w:t>
        <w:br/>
        <w:t xml:space="preserve">Decision No. 01-D-72 of November 2, 2001  </w:t>
        <w:br/>
        <w:t xml:space="preserve">regarding a referral submitted by Mr. X...  </w:t>
        <w:br/>
        <w:t xml:space="preserve">against the practices of the companies Orange (Itinéris), SFR, and Bouygues Télécom  </w:t>
        <w:br/>
        <w:t xml:space="preserve">The Competition Council (standing committee),  </w:t>
        <w:br/>
        <w:t xml:space="preserve">Having regard to the letter registered on May 7, 2001, under No. F 1310, by which Mr. X... referred to the Competition Council practices implemented by the companies Orange (Itinéris), SFR, and Bouygues Télécom, which he considers anti-competitive;  </w:t>
        <w:br/>
        <w:t xml:space="preserve">Having regard to Book IV of the Commercial Code and the amended Decree No. 86-1309 of December 29, 1986, setting the conditions for the application of Ordinance No. 86-1243 of December 1, 1986, relating to the freedom of prices and competition;  </w:t>
        <w:br/>
        <w:t xml:space="preserve">The rapporteur, the deputy general rapporteur, the Government Commissioner heard during the session of September 18, 2001; Mr. X..., having been regularly summoned;  </w:t>
        <w:br/>
        <w:t xml:space="preserve">Considering that Mr. X... states in his referral that certain indications lead to the conclusion that the companies Orange (Itinéris), SFR, and Bouygues Télécom have conspired to set the same rate for telephone communications made, by mobile phone, from abroad, regardless of the operator;  </w:t>
        <w:br/>
        <w:t xml:space="preserve">Considering that, apart from the case of ex officio referral, the Competition Council can only be seized, by application of the combined provisions of Article L. 462-5 and the second paragraph of Article L. 462-1 of the Commercial Code, by the minister responsible for the economy, companies, local authorities, professional or trade union organizations, approved consumer organizations, agricultural chambers, trade chambers, and chambers of commerce and industry, regarding the interests for which they are responsible;  </w:t>
        <w:br/>
        <w:t xml:space="preserve">Considering that this enumeration is restrictive; that, therefore, the Council cannot consider requests from individuals or organizations not belonging to one or the other of the categories mentioned above;  </w:t>
        <w:br/>
        <w:t xml:space="preserve">Considering that Mr. X..., who states in his letter of May 7, 2001, to be a regular user of the French mobile telephony network, does not fall under any of the categories mentioned above and therefore does not have standing to refer to the Council; that, consequently, his referral is inadmissible;  </w:t>
        <w:br/>
        <w:t xml:space="preserve">Decides  </w:t>
        <w:br/>
        <w:t>Sole Article. – The referral registered under number F 1310 is declared inadmissible.</w:t>
      </w:r>
    </w:p>
    <w:p>
      <w:r>
        <w:t xml:space="preserve">Deliberated on the report of Mr. Deparis in place of Ms. Chaulet-Philippe, by Ms. Hagelsteen, president, Ms. Pasturel, vice-president, and Mr. Cortesse, vice-president.  </w:t>
        <w:br/>
        <w:t xml:space="preserve">The session secretary, The president,  </w:t>
        <w:br/>
        <w:t xml:space="preserve">Thierry Poncelet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