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https://www.autoritedelaconcurrence.fr/fr/decision-de-controle-des-concentrations/relativeau-rachat-de-societe-des-polymeres-barre-thomas-par</w:t>
      </w:r>
    </w:p>
    <w:p>
      <w:r>
        <w:t>Pages translated : 5</w:t>
      </w:r>
    </w:p>
    <w:p/>
    <w:p>
      <w:r>
        <w:rPr>
          <w:b/>
        </w:rPr>
        <w:t>[Pages 1–3]</w:t>
      </w:r>
    </w:p>
    <w:p>
      <w:r>
        <w:t xml:space="preserve">FRENCH REPUBLIC  </w:t>
        <w:br/>
        <w:t xml:space="preserve">Decision No. 11-DCC-60 of April 12, 2011  </w:t>
        <w:br/>
        <w:t xml:space="preserve">regarding the acquisition of Société des Polymères Barre-Thomas by  </w:t>
        <w:br/>
        <w:t>Cooper-Standard Automotive* France</w:t>
      </w:r>
    </w:p>
    <w:p>
      <w:r>
        <w:t xml:space="preserve">The Competition Authority,  </w:t>
        <w:br/>
        <w:t xml:space="preserve">Having regard to the notification file submitted in full to the merger service on March 21, 2011,  </w:t>
        <w:br/>
        <w:t xml:space="preserve">regarding the exclusive control of Société des Polymères Barre-Thomas SAS by Cooper-Standard Automotive France SAS, formalized by share transfer agreements, a "share purchase agreement," and a "joint venture agreement" signed on March 28, 2011;  </w:t>
        <w:br/>
        <w:t xml:space="preserve">Having regard to Book IV of the Commercial Code relating to price freedom and competition, and in particular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company Cooper-Standard Automotive France (hereinafter "CSA France") is a subsidiary (100% directly and indirectly owned) of Cooper-Standard Automotive Inc., a company under U.S. law and the parent company of the Cooper-Standard Automotive group (hereinafter "CSA"). The share capital of CSA is held by professional and private investors, none of whom exercise joint or exclusive control. This group is active in the fields of design, manufacturing, and distribution of parts for the automotive industry, particularly body sealing products, flexible hoses and conduits, and anti-vibration systems.  </w:t>
        <w:br/>
        <w:t xml:space="preserve">2. The FMEA is a venture capital fund whose mission is to acquire and hold minority stakes in the automotive equipment sector in France. The FMEA is held by CDC Entreprises (100% subsidiary of the Caisse des Dépôts et Consignations), the Renault group, and PSA, each holding one-third of the shares. However, the FMEA is only controlled by the CDC, with the Renault group and PSA not having the ability to exert decisive influence over the management of the FMEA.  </w:t>
        <w:br/>
        <w:t>* Material error corrected.</w:t>
      </w:r>
    </w:p>
    <w:p>
      <w:r>
        <w:t xml:space="preserve">3. The Société des Polymères Barre-Thomas (hereinafter "SPBT") is a simplified joint-stock company active in the fields of design, manufacturing, and distribution of body sealing products for passenger vehicles and light commercial vehicles, flexible hoses and conduits, and anti-vibration systems. Its main client is [Confidential], which accounts for [80-90]% of its sales.  </w:t>
        <w:br/>
        <w:t xml:space="preserve">4. The notified transaction consists of the acquisition of control of SPBT by CSA, through CSA France. It will be carried out through two interdependent operations: FMEA will initially acquire the entire share capital of SPBT; CSA France will then contribute its body sealing product activities to SPBT in exchange for 51% of the share capital of SPBT, with FMEA retaining the remaining 49%. The board of directors of SPBT will consist of 5 members, 3 of whom will be appointed by CSA France and 2 by FMEA, which will not hold any veto rights over strategic decisions that will be adopted by simple majority.  </w:t>
        <w:br/>
        <w:t xml:space="preserve">5. In light of the above, the notified transaction results in the exclusive control of SPBT by CSA France. It constitutes a concentration within the meaning of Article L. 430-1 of the Commercial Code.  </w:t>
        <w:br/>
        <w:t>6. The concerned companies have achieved a consolidated worldwide turnover excluding tax of more than 150 million euros (CSA: 1.8 billion euros for the fiscal year ending December 31, 2010; SPBT: 167.14 million euros for the same period). Each of these two companies has achieved a turnover in France exceeding 50 million euros (CSA: […] million euros for the fiscal year ending December 31, 2010; SPBT: […] million euros for the same year). Given these turnover figures, the transaction does not have a community dimension. However, the control thresholds mentioned in point I of Article L. 430-2 of the Commercial Code are exceeded. This transaction is therefore subject to the provisions of Articles L. 430-3 and following of the Commercial Code relating to economic concentration.</w:t>
      </w:r>
    </w:p>
    <w:p>
      <w:r>
        <w:t xml:space="preserve">II. Definition of the relevant markets  </w:t>
        <w:br/>
        <w:t xml:space="preserve">A. THE RELEVANT MARKETS  </w:t>
        <w:br/>
        <w:t xml:space="preserve">7. The parties are simultaneously active in the design, manufacturing, and distribution of polymer parts for the automotive industry.  </w:t>
        <w:br/>
        <w:t xml:space="preserve">8. In the automotive equipment sector, both national and community decision-making practices have considered that each type of part could constitute a relevant market given the lack of substitutability between different types of parts1. Specific markets have notably been identified for bumpers, door panels, dashboards, splash guards, side protections (body side moldings), rocker panels, spoilers, and even decorated parts for dashboards and door panels...  </w:t>
        <w:br/>
        <w:t xml:space="preserve">9. Furthermore, the decision-making practice of the minister2 and the European Commission3 has distinguished, in their decisions related to the automotive equipment sector, on the one hand, markets for original equipment (OEM – Original Equipment Manufacturer) and spare parts distributed by manufacturers' networks (OES – Original Equipment Services), and on the other hand, markets comprising spare parts distributed by large retail networks or vehicle maintenance specialists (IAM – Independent Aftermarket). The parties to the transaction are only active in the OEM/OES channel.  </w:t>
        <w:br/>
        <w:t xml:space="preserve">10. The community authorities have also considered segmenting the markets for products based on the type of vehicle in which the automotive part would be integrated (passenger vehicles and light commercial vehicles, and heavy trucks)4. The parties to the transaction are primarily active in the market for passenger vehicles and light commercial vehicles.  </w:t>
        <w:br/>
        <w:t xml:space="preserve">11. The parties are simultaneously active in the manufacturing and distribution of the following automotive components: automotive sealing products, flexible hoses and conduits for engines, and anti-vibration systems.  </w:t>
        <w:br/>
        <w:t xml:space="preserve">12. The European Commission has defined automotive sealing products as products generally consisting of a polymer or rubber base to seal car windows, doors, sunroofs, or body parts to protect against water, wind, dust, and noise5. While leaving the question open, it has also considered that automotive sealing products belong to a distinct product market from that of industrial sealing products. It has also left open the question of the existence of a secondary market (IAM). The notifying party considers that there is no secondary market (IAM) for automotive sealing products. In any case, the parties to the transaction do not market their products to independent spare parts distributors.  </w:t>
        <w:br/>
        <w:t xml:space="preserve">13. The market for flexible hoses and conduits for motor vehicles has been considered by the Commission as distinct from the market for flexible hoses and conduits intended for applications other than motor vehicles6. It has considered a sub-segment of cooling, heating, and air intake hoses. Finally, the Commission, while leaving the question open, has also considered segmenting fuel hoses and conduits from hoses and conduits for refrigerants.  </w:t>
        <w:br/>
        <w:t xml:space="preserve">1 See notably Decision No. 09-DCC-08 regarding the exclusive control of the Setforge group by Farinia B.V.; Letter C2007-141135 from the Minister of Economy, Finance and Employment dated April 4, 2008, to the board of Zen SpA regarding a concentration in the automotive parts sector; Letter C2007-177141135 from the Minister of Economy, Finance and Employment dated February 11, 2008, to the board of CIE Automotive S.A. regarding a concentration in the automotive components sector; Letter C2007-135 from the Minister of Economy, Finance and Employment dated November 26, 2007, to the board of the Arche group regarding a concentration in the automotive parts sector; Letter C2006-121 from the Minister of Economy, Finance and Industry dated November 16, 2006, to the board of American Industrial Acquisition Corporation regarding a concentration in the automotive equipment parts sector; Letter from the Minister of Economy, Finance and Industry dated March 28, 2003, to the board of Mecaplast regarding a concentration in the sector of manufacturing plastic parts for automotive equipment; Decision COMP/M.4239 Plastic Omnium/Inopart of October 27, 2006; Decision COMP/M.2241 Peugeot/Sommer Allibert dated December 20, 2000;  </w:t>
        <w:br/>
        <w:t xml:space="preserve">2 See notably the letter from the Minister of Economy, Finance and Employment dated March 28, 2003, to the board of Mecaplast regarding a concentration in the sector of manufacturing plastic parts for automotive equipment.  </w:t>
        <w:br/>
        <w:t xml:space="preserve">3 See notably the decisions of the European Commission M360-Arvin / Sogefi of August 23, 1993, M1245-Valéo / ITT Industries of July 30, 1998, and M2939-JCI / Bosch / VB Autobatterien JV of October 18, 2002.  </w:t>
        <w:br/>
        <w:t xml:space="preserve">4 See notably the decisions of the European Commission COMP/M.3789 Johnson Controls / Robert Bosch / Delphi Sli of June 29, 2005, and COMP/M.3972 Trw Automotive / Delphi Metal España of October 12, 2005.  </w:t>
        <w:br/>
        <w:t xml:space="preserve">5 See the decisions of the European Commission IV/M.253 – BTR / Pirelli of August 17, 1992, COMP/M.1869 – CVC / BTR Siebe Automotive Sealing Systems of March 6, 2000, and COMP/M.5563 – SHV / Eriks of July 31, 2009.  </w:t>
        <w:br/>
        <w:t>6 See the decision of the European Commission COMP/M.3436 – Continental / Phoenix of October 26, 2004.</w:t>
      </w:r>
    </w:p>
    <w:p>
      <w:r>
        <w:rPr>
          <w:b/>
        </w:rPr>
        <w:t>[Pages 4–5]</w:t>
      </w:r>
    </w:p>
    <w:p>
      <w:r>
        <w:t>14. In the present case, CSA produces metal tubes for motor vehicles, particularly for fuel and braking systems. The notifying party considers that these metal tubes are not substitutable for flexible pipes and conduits for motor vehicles made from rubber or plastic.</w:t>
      </w:r>
    </w:p>
    <w:p>
      <w:r>
        <w:t>15. Anti-vibration systems are "rubber-metal parts" used to dampen relatively high-frequency vibrations, notably to stabilize the engine or vehicle suspension. The commission considered segmenting the market for anti-vibration systems for motor vehicles while leaving the question open.</w:t>
      </w:r>
    </w:p>
    <w:p>
      <w:r>
        <w:t>16. In this case, the question of defining the segmentation of the markets can be left open, to the extent that whatever position is taken, the conclusions of the competitive analysis will remain unchanged.</w:t>
      </w:r>
    </w:p>
    <w:p>
      <w:r>
        <w:t>B. GEOGRAPHICAL DELIMITATION OF MARKETS</w:t>
      </w:r>
    </w:p>
    <w:p>
      <w:r>
        <w:t>17. In the matter of automotive spare parts, the decision-making practice consistently considers that the markets are at least of a Community dimension in that manufacturers of automotive parts operate throughout Europe and there are no technical standards or other regulatory barriers to trade within the European Economic Area, nor any customs barriers between Member States. This situation is also found in the more specific sector of plastic parts, and this instruction does not lead to questioning this approach. Consequently, for the purposes of this analysis, the impact of the operation will be examined on markets of European dimension.</w:t>
      </w:r>
    </w:p>
    <w:p>
      <w:r>
        <w:t>III. Competitive Analysis</w:t>
      </w:r>
    </w:p>
    <w:p>
      <w:r>
        <w:t>18. In the market for automotive sealing products, CSA will have an estimated market share of [10-20]% ([0-5]% for SPBT prior to the operation). It will still face competition from groups such as Hurchinson ([10-20]%), Saargummi ([5-10]%), Standard Profil ([5-10]%), Hennige ([0-5]%), Kaufil ([0-5]%), and Sealynx ([0-5]%). Furthermore, as the notifying party points out, the level of automobile production in Western Europe has decreased from 16.11 million vehicles in 2007 to 11.77 million vehicles in 2009. The production capacity at the level of the European Economic Area has not significantly decreased, and manufacturers in the sector currently find themselves in a situation of overproduction capacity. Additionally, in this market, there is strong price competition, due in particular to the homogeneity of automotive sealing products, the maturity of this market, and the low intensity in research and development. Finally, customers, automotive manufacturers, benefit, as noted by both Community and national competition authorities, from significant market power.</w:t>
      </w:r>
    </w:p>
    <w:p>
      <w:r>
        <w:t>19. Regarding the other markets affected by the operation, flexible pipes and conduits and anti-vibration systems, it appears from the examination of the file that, regardless of the segmentation chosen, the market shares held by the new entity will remain below 10% and, in any case, the overlaps of activities will be limited, if not nonexistent. Consequently, the operation is not likely to harm competition through potential horizontal effects.</w:t>
      </w:r>
    </w:p>
    <w:p>
      <w:r>
        <w:t>20. [Confidential]. Nevertheless, the new entity will not have a position in any of the contemplated markets from which it could leverage an effect. Therefore, this operation is not likely to harm competition through conglomerate effects in the markets for plastic parts intended for the automotive industry.</w:t>
      </w:r>
    </w:p>
    <w:p>
      <w:r>
        <w:t>21. Therefore, this operation is not likely to harm competition in the markets for parts intended for the automotive industry.</w:t>
      </w:r>
    </w:p>
    <w:p>
      <w:r>
        <w:t>DECIDES</w:t>
      </w:r>
    </w:p>
    <w:p>
      <w:r>
        <w:t>Sole Article: The notified operation under number 10-0233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