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https://www.cnmc.es/expedientes/s000207</w:t>
      </w:r>
    </w:p>
    <w:p>
      <w:r>
        <w:t>Pages translated : 14</w:t>
      </w:r>
    </w:p>
    <w:p/>
    <w:p>
      <w:r>
        <w:rPr>
          <w:b/>
        </w:rPr>
        <w:t>[Pages 1–3]</w:t>
      </w:r>
    </w:p>
    <w:p>
      <w:r>
        <w:t xml:space="preserve">RESOLUTION  </w:t>
        <w:br/>
        <w:t xml:space="preserve">Expte. S/0002/07, Superior Council of Architects of Spain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November 29, 2010  </w:t>
        <w:br/>
        <w:t>The Council of the National Competition Commission, with the composition expressed and being the Rapporteur Councilor Mr. Julio Costas Comesaña, has issued the following Resolution in the sanctioning file S/0002/07, initiated by the Investigation Directorate at the request of the Council of the National Competition Commission, against the Superior Council of the Colleges of Architects of Spain, for the commission of a conduct prohibited by Article 1 of Law 15/2007, of July 3, on Competition Defense.</w:t>
      </w:r>
    </w:p>
    <w:p>
      <w:r>
        <w:t xml:space="preserve">FACTUAL BACKGROUND  </w:t>
        <w:br/>
        <w:t xml:space="preserve">1. On August 14, 2007, a complaint was received by the Investigation Directorate (DI) of the National Competition Commission (CNC) filed by the Official College of Industrial Technical Engineers of Cuenca against the Official College of Technical Architects of Cuenca, for an agreement, decision, or action of this College consisting of having instructed all visa offices to "deny the visa to those building projects whose main use is administrative, health, religious, residential in all its forms, educational, and cultural, and in which the corresponding safety and health study is signed by another technician who is not an architect or a technical architect," which, according to the complaint, arbitrarily excludes industrial technical engineers from carrying out and signing safety and health studies in construction works and in the coordination of the execution of such works.  </w:t>
        <w:br/>
        <w:t xml:space="preserve">2. After proceeding to rectify the complaint, on April 7, 2008, the DI agreed to initiate a reserved inquiry. On the other hand, on November 17, 2008, by virtue of the allocation mechanism provided in Law 1/2002, of February 21, on the Coordination of the Competencies of the State and the Autonomous Communities in matters of Competition Defense, the General Directorate of Competition Defense of the Generalitat of Catalonia forwarded to the DI a complaint filed by the Council of Colleges of Industrial Technical Engineers of Catalonia against the College of Architects of Catalonia, for alleged conducts prohibited by Article 1 of Law 15/2007, of July 3, on Competition Defense (LDC), consisting of the agreement adopted in January and March 2006 by the College of Architects of Catalonia to prevent: "any collegiate visa from being granted for building projects of administrative, health, religious, residential in all its modalities, educational, and cultural use, when the safety and health study accompanying such projects is signed by professionals who are not architects or technical architects."  </w:t>
        <w:br/>
        <w:t xml:space="preserve">3. On January 27, 2009, the DI submitted to this Council a Proposal for Filing the proceedings followed as a result of the two complaints filed, considering that there were no indications of infringement of the LDC.  </w:t>
        <w:br/>
        <w:t xml:space="preserve">4. The Council of the CNC, by Agreement of June 15, 2009 (modified by Agreement of correction of material error of July 13, 2009), urged the DI to initiate sanctioning proceedings against the Superior Council of the Colleges of Architects of Spain for the agreement adopted on October 6, 2005, which states "to deny visas to those building projects whose main use is administrative, health, religious, residential in all its forms, educational, and cultural, and in which the corresponding safety and health study is signed by another technician who is not an architect or a technical architect," considering that this agreement is the origin of the conducts carried out by the different colleges.  </w:t>
        <w:br/>
        <w:t xml:space="preserve">5. According to the Council of the CNC, the current legislation expressly opts not to specify which technicians are competent to perform the functions of safety and health coordinator and to sign the safety and health studies, in those cases where it is not necessary to appoint such a coordinator and limits itself to requiring that they be carried out by a competent technician. According to the Council of the CNC, the absence of a pronouncement on this issue, as well as "this lack of determination regarding the qualifying title, combined with the absence of a specific provision prohibiting engineers and technical engineers from signing the safety and health studies of the works intended for the purposes established in Article 2.1.a) of the LOE, allows for a more favorable interpretation of free competition."  </w:t>
        <w:br/>
        <w:t xml:space="preserve">6. On July 17, 2009, the DI agreed to initiate sanctioning proceedings against the Superior Council of the Colleges of Architects of Spain for conducts prohibited by Article 1 of the LDC. Since the initiation ordered by the Council of the CNC referred to the Superior Council of the Colleges of Architects of Spain, on July 27, 2009, the DI proceeded to deduce testimony of the proceedings related to the Official College of Technical Architects of Cuenca, forming with them a new file, reference S/0175/09, understanding that there are two different professions, that of architects and technical architects, whose Councils, if applicable, would be responsible for their own acts.  </w:t>
        <w:br/>
        <w:t xml:space="preserve">In order to determine the competent body to address the facts related to the actions of the Official College of Technical Architects of Cuenca, information was requested from the General Council of Official Colleges of Quantity Surveyors and Technical Architects. In view of this information, the effects of the alleged restrictive conduct by the Official College of Technical Architects of Cuenca would be limited to the territorial scope of action of said college, therefore, in application of Article 1 of Law 1/2002, of February 21, on the Coordination of the Competencies of the State and the Autonomous Communities in matters of Competition Defense, the competent authority to address the facts would be the Competition Authority of the Autonomous Community of Castilla-La Mancha, to which the file S/0175/09 was referred on September 18, 2009.  </w:t>
        <w:br/>
        <w:t xml:space="preserve">7. On April 15, 2010, a letter from the Superior Council of the Colleges of Architects of Spain (Superior Council) was received by the DI requesting the initiation of the processing of a conventional termination of the sanctioning file. On April 16, 2010, the DI agreed to initiate the proceedings aimed at the conventional termination of the referenced sanctioning procedure, and the suspension of the computation of the maximum resolution period thereof in accordance with the provisions of Article 37.1 g) of the LDC. On May 7, 2010, a letter from the Superior Council was received by the CNC submitting the proposal of commitments, which the DI, in application of Article 39.4 of Royal Decree 261/2008, of February 22, which approves the Regulation of Competition Defense (RDC), forwarded to this Council for its knowledge. The Council of Colleges of Industrial Technical Engineers of Catalonia opposed this proposal of commitments by means of a letter dated May 28, 2010, and the DI formulated and notified objections to the Superior Council on June 24, 2010. On July 23, 2010, a new proposal of commitments from the Superior Council was received by the CNC, which was also forwarded to this Council for its knowledge by the DI on August 19, 2010. No allegations were received regarding this second proposal.  </w:t>
        <w:br/>
        <w:t xml:space="preserve">8. On September 22, 2010, in compliance with the provisions of Articles 52 of the LDC and 39.5 of the RDC, the DI submitted to the Council of the CNC a Proposal for Conventional Termination in the referenced file, in which it specifically proposes:  </w:t>
        <w:br/>
        <w:t xml:space="preserve">“(...) that the Council of the CNC resolves the conventional termination of file S/0002/07 initiated, by virtue of the provisions of the agreement of the Council of the CNC of June 15, 2009, against the Superior Council of the Colleges of Architects of Spain, in accordance with the provisions of Articles 52 of the LDC and 39.5 of the RDC, considering that the commitments presented by the aforementioned Superior Council resolve the competition problems arising from the adoption of the agreement of October 6, 2005, related to safety and health studies. These commitments are:  </w:t>
        <w:br/>
        <w:t xml:space="preserve">1. The agreement of the plenary session of the Superior Council dated October 6, 2005, regarding safety and health studies is revoked and rendered ineffective.  </w:t>
        <w:br/>
        <w:t>2. In connection with the visa to which, in accordance with current legislation, the execution projects of works must be submitted, the College of architects...</w:t>
      </w:r>
    </w:p>
    <w:p>
      <w:r>
        <w:rPr>
          <w:b/>
        </w:rPr>
        <w:t>[Pages 4–6]</w:t>
      </w:r>
    </w:p>
    <w:p>
      <w:r>
        <w:t xml:space="preserve">1. The agreement of the plenary session of the Superior Council dated October 6, 2005, regarding safety and health studies is revoked and rendered ineffective. </w:t>
        <w:br/>
        <w:t xml:space="preserve">2. On the occasion of the visa to which, in accordance with current legislation, the execution projects of works must be submitted, the corresponding College of Architects will verify that the safety and health study is incorporated into the project and that it has been properly drafted by the coordinators in matters of safety and health (in cases where the existence of such a figure is required by law) or by other competent technicians, according to their competencies and specialties (either directly when the regulations do not impose the existence of a coordinator or under the responsibility of the latter when such presence is mandatory). The Superior Council of the Colleges of Architects of Spain will be obliged to comply with this. </w:t>
        <w:br/>
        <w:t xml:space="preserve">To ensure compliance with the commitments and allow for their monitoring by the Investigation Directorate of the CNC, it is proposed to the Council of the CNC that the Superior Council of the Colleges of Architects of Spain communicate the agreement of conventional termination that, if applicable, is adopted by the Council of the CNC, to all its territorial Colleges of architects members, which, in turn, will convey it to their members. </w:t>
        <w:br/>
        <w:t xml:space="preserve">Furthermore, the Superior Council of Colleges of Architects of Spain will send to the Investigation Directorate of the CNC the documentation proving that the aforementioned communications have been effectively carried out. </w:t>
        <w:br/>
        <w:t xml:space="preserve">9. The Council of the National Competition Commission deliberated and ruled on this file in its meeting of October 27, 2010. </w:t>
        <w:br/>
        <w:t xml:space="preserve">10. The interested parties in this file S/0002/07 are: </w:t>
        <w:br/>
        <w:t xml:space="preserve">- Superior Council of the Colleges of Architects of Spain </w:t>
        <w:br/>
        <w:t xml:space="preserve">- Official College of Technical Industrial Engineers of Cuenca </w:t>
        <w:br/>
        <w:t>- Council of Colleges of Technical Industrial Engineers of Catalonia</w:t>
      </w:r>
    </w:p>
    <w:p>
      <w:r>
        <w:t xml:space="preserve">PROVEN FACTS </w:t>
        <w:br/>
        <w:t xml:space="preserve">In its Proposal for conventional termination, the DI considers the following as proven facts: </w:t>
        <w:br/>
        <w:t xml:space="preserve">1. The Superior Council of the Colleges of Architects of Spain (hereinafter, Superior Council) is a public law corporation with its own legal personality and full capacity to act, with a state-level scope of action and currently brings together 26 Official Colleges of Architects, particularly those of: Aragón, Asturias, Balearic Islands, Canary Islands, Cantabria, Castilla-La Mancha, Castilla y León Este, Catalonia, Ceuta, Almería, Cádiz, Córdoba, Granada, Huelva, Jaén, Málaga, Sevilla, Extremadura, Galicia, León, Madrid, Murcia, Logroño, Valencia, Vasco-Navarro, as well as the College of Architects of Andalusia. </w:t>
        <w:br/>
        <w:t xml:space="preserve">Law 2/1974, of February 13, on Professional Colleges establishes in its Article 9: “The General Councils of the Colleges (...) shall have the following functions: </w:t>
        <w:br/>
        <w:t xml:space="preserve">a) those attributed by Article 5 to the Professional Colleges, insofar as they have a national scope or impact.” </w:t>
        <w:br/>
        <w:t xml:space="preserve">The aforementioned Article 5 includes as collegiate functions, among others, to regulate within their competence the professional activity of the members. </w:t>
        <w:br/>
        <w:t xml:space="preserve">For its part, the General Statutes of the Official Colleges of Architects and their Superior Council, approved by Royal Decree 327/2002, of April 5, attribute to the Superior Council as one of its public functions in its Article 51, section 2.f): “To agree on general guidelines for coordination in matters of common interest” and in its Article 6.2.b the function of “coordinating the actions of its members in the realization of their essential and common purposes.” </w:t>
        <w:br/>
        <w:t xml:space="preserve">2. In January 2003, the Superior Council requested from the General Directorate of Housing, Architecture and Urbanism of the Ministry of Development, clarifying information on certain provisions of the Law on the Regulation of Building (LOE), specifically regarding the Fourth Additional Provision (folio 382): “(...) the provision refers the identification of the technicians authorized to perform this function, both in the project phase and in the execution of works, to the 'competencies and specialties' of Architects, Technical Architects, Engineers, and Technical Engineers, without further precision in this regard. </w:t>
        <w:br/>
        <w:t xml:space="preserve">The question raised is the following: should it be understood that this referral includes the delimitation of the respective professional fields according to the characteristic uses of the buildings, according to the classifications of Art. 2-1 of the LOE, as occurs in Arts. 10-2 and 12-3 a) regarding the project and direction of works? Or can this referral be considered limited only to the necessary accreditation of the competencies inherent to each title in the field of building, regardless of the characteristic uses? </w:t>
        <w:br/>
        <w:t xml:space="preserve">Specifically, and coming to the most significant case: when it comes to the project and/or direction of buildings that fall under the exclusive competence of Architects (residential, religious, administrative...), should the cited provision be understood in the sense that the coordination of safety and health must necessarily be performed by an Architect or Technical Architect? Or can it also be understood that those Engineers or Technical Engineers who, according to the competencies inherent to their specific qualifications, are authorized to design and direct the building works of the uses specific to their specialty (Civil Engineers, Industrial Engineers, Agronomists, Aeronautical Engineers...) are also authorized in these cases?” </w:t>
        <w:br/>
        <w:t xml:space="preserve">3. On January 27, 2003, the Ministry of Development, through the Secretary General, responded to the letter from the Superior Council, warning: “(...) that the interpretation and application of the law corresponds to the Courts and Tribunals. However, for purely informative and non-binding purposes, the following is stated: </w:t>
        <w:br/>
        <w:t xml:space="preserve">The aforementioned Fourth Additional Provision ends by saying 'in accordance with their competencies and specialties.' This determination leads to a first conclusion, which is that not all the graduates mentioned therein can be coordinators of safety and health in any project and in any direction of work since if the legislator had intended otherwise, they would not have included such final precision. </w:t>
        <w:br/>
        <w:t xml:space="preserve">Based on this, the interpretation that seems most appropriate and that answers the question posed is that in those building projects, which fall under the exclusive competence of architects, the coordination of safety and health must be carried out by an Architect or Technical Architect, and engineers or technical engineers cannot act as coordinators in these cases. </w:t>
        <w:br/>
        <w:t xml:space="preserve">However, in those cases concerning building works where Civil Engineers, Industrial Engineers, Agronomists, Aeronautical Engineers, etc., are authorized according to the competencies of their specific qualifications to design and direct them in view of the current legal provisions for each profession, they may be coordinators of safety and health in relation to the aforementioned projects” (folios 383 and 384). </w:t>
        <w:br/>
        <w:t xml:space="preserve">On March 16, 2003, the Ministry of Development responded to the request for clarifying information on the same issue from the General Council of Official Colleges of Surveyors and Technical Architects, in identical terms to those in the letter sent to the Superior Council on January 27 (folios 385 and 386). </w:t>
        <w:br/>
        <w:t xml:space="preserve">4. The Plenary of the Superior Council, in a session held on October 6, 2005, adopted the following agreement (folio 380): </w:t>
        <w:br/>
        <w:t xml:space="preserve">“4.2.3. Safety and Health Studies </w:t>
        <w:br/>
        <w:t xml:space="preserve">In relation to professional competencies in matters of safety and health in building works, given the interpretation that the Fourth Provision of Law 38/1999, of November 5, on the Regulation of Building has expressed: the Superior Court of Justice of Andalusia in its Judgment of October 14, 2004, the Ministry of Development in its letters dated January 27 and March 16, 2003, addressed to this Superior Council and to the General Council of Official Colleges of Surveyors and Technical Architects, respectively, and the Ministry of Labor and Social Affairs in files processed by the Labor Inspection, all coinciding in establishing that in the building projects that fall under the exclusive competence of architects, the coordination of safety and health must be performed by an Architect or Technical Architect, the following AGREEMENT is adopted: </w:t>
        <w:br/>
        <w:t xml:space="preserve">To inform the Colleges that, in accordance with the provisions of Article 5 of Royal Decree 1627/1997, of October 24, in relation to the Fourth Additional Provision of Law 38/1999, of November 5, on the Regulation of Building, it must be verified that in the execution projects of exclusive competence of architects, the safety and health studies are signed by an architect or technical architect, denying their visa in case they are signed by another technician.” </w:t>
        <w:br/>
        <w:t>On October 10, 2005, this agreement was communicated to the Colleges of Architects by means of a letter from the Secretariat of the Superior Council (folio 381).</w:t>
      </w:r>
    </w:p>
    <w:p>
      <w:r>
        <w:rPr>
          <w:b/>
        </w:rPr>
        <w:t>[Pages 7–9]</w:t>
      </w:r>
    </w:p>
    <w:p>
      <w:r>
        <w:t>5. The Official College of Architects of Catalonia (hereinafter COAC), a public law corporation with legal personality and full capacity to pursue its objectives, operates in the territory of Catalonia and has five demarcations: Barcelona, Tarragona, Lérida, Gerona, and Ebro Lands. Following the agreement adopted and communicated (folio 325) by the Superior Council, the COAC adopted a series of agreements, all aimed at denying the visas for execution projects that fall under the exclusive competence of architects, provided that the safety and health studies are signed by technicians who are not architects or technical architects. Thus, the Governing Board of the COAC, in a session on March 14, 2006, ratified the agreement of the Sub-area of the Secretariat of the Government Area of the COAC of January 31, 2006 (folio 244), in the following terms (folio 310): “The Governing Board in session on March 14, 2006, and in accordance with Article 31.6 of the collegiate statutes, agrees to ratify the agreement of the Sub-area of the Secretariat of the Government Area of the College of Architects of Catalonia of January 31, 2006, which is transcribed below: Professional Competencies in the drafting of safety and health studies. The Superior Council of Colleges of Architects of Spain has notified the adoption of the following agreement: “To inform the Colleges that, in accordance with Article 5 of Royal Decree 1627/1997, of October 24, in relation to the Fourth Additional Provision of Law 38/1999, of November 5, on the regulation of building, it must be verified that in the execution projects that fall under the exclusive competence of architects, the safety and health studies will be signed by architects or technical architects, denying the visa in case they are signed by another technician.” This agreement is based on the fact that the building projects that, according to their functional use, are the exclusive competence of architects (buildings whose main use is administrative, health, religious, residential in all its forms, educational, and cultural) must have the coordination of safety and health carried out by an architect or technical architect, and engineers or technical engineers cannot act as coordinators in these cases, as has been stated by: - the Judgment of the Superior Court of Justice of Andalusia of October 14, 2003. - the Circular of the General Directorate of Housing of March 18, 2003. - the writings of the Ministry of Development of March 16, 2003, to the General Council of Official Colleges of Surveyors and Technical Architects. - the Judgment of the Administrative Litigation Court No. 2 of Huelva of March 11, 2003. - the writing of the Ministry of Development of January 27, 2003, addressed to the Superior Council of Colleges of Architects of Spain.</w:t>
      </w:r>
    </w:p>
    <w:p>
      <w:r>
        <w:t>In consequence, to inform about the agreement of the Superior Council of Colleges of Architects of Spain regarding professional competencies in the drafting of safety and health studies. IT IS AGREED to acknowledge the agreement adopted by the Superior Council of Colleges of Architects of Spain and to inform the visa department of all demarcations to follow the adopted guidelines, denying the visas to those building projects whose main use is administrative, health, religious, residential in all its forms, educational, and cultural, in which the corresponding safety and health study is signed by another technician who is not an architect or technical architect.” The agreement was disseminated among the members of the COAC (folios 311 to 318). 6. On the other hand, the then Ministry of Labor and Social Affairs, in the context of inspection files prior to the adoption of the controversial agreement [Writings from the years 2003 and 2004] (folios 387 to 389), as well as in response to various writings of complaints and/or protests from the Colleges of Surveyors and Technical Architects of Coruña, Cáceres, Sevilla, and Valencia, among others, subsequent to the adoption of the agreement, and in which the action of the Labor Inspection was requested, made [Writings of June 27, 2007 (folios 145 to 150), August 10, 2007 (folios 135 to 141), November 15, 2007 (folios 130 to 134), and January 2008 (folios 142 and 143)] an interpretation of the spirit of the Law and what the legislator intended to express, in the following terms: “(...) it is more than evident that the Law does not want to recognize all the technicians included in the Fourth Additional Provision the possibility of being the safety coordinator in any work, but rather that such possibility is linked to the specialties and competencies of each of them, which means that it will be necessary to hold one or another qualification depending on the type of work in question (...)” (folio 158) and that, in the case of building works, “(...) according to the conclusive terms in which the General Directorate of Labor Inspection and Social Security pronounces, they are those of Architects and Technical Architects.” Furthermore, the Ministry of Labor added that: “it will be difficult to adequately fulfill such functions without knowledge and professional training in accordance with the construction activities related to residential buildings, the techniques applied in them, or the organization of such activities.” 7. On May 13, 2010, the Secretary General of the Ministry of Housing, in response to the inquiry from the Superior Council regarding whether the reasons justifying the reservation of activity concerning the coordination of safety and health in the project phase of building works, which fall under the exclusive competence of architects, should also be considered adequate to extend such reservation to the drafting of the corresponding safety studies, responded, after referring to what is established by the LOE both in the Fourth Additional Provision and in its articles, that “in coherence with the above, it can be deduced that in building projects of exclusive competence of architects, the safety and health studies must be signed by an architect or technical architect” (folios 797 to 801).</w:t>
      </w:r>
    </w:p>
    <w:p>
      <w:r>
        <w:t>LEGAL BASIS</w:t>
      </w:r>
    </w:p>
    <w:p>
      <w:r>
        <w:t>First.- Object of the file</w:t>
      </w:r>
    </w:p>
    <w:p>
      <w:r>
        <w:t>Within the resolution functions attributed to the CNC Council, Article 52.1 of the LDC provides that it may resolve, at the proposal of the Investigation Directorate, the conventional termination of the sanctioning procedure initiated when the alleged offenders propose commitments that resolve the effects on competition derived from the behaviors subject to the file and the public interest is sufficiently guaranteed. In this case, the conduct subject to the file initiated against the Superior Council is the agreement adopted on October 6, 2005, which was communicated to the territorial Colleges of Architects on the following 10th, referenced in the Background of Fact 5 of this Resolution, and consisting of: To inform the Colleges that, in accordance with the provisions of Article 5 of Royal Decree 1627/1997, of October 24, in relation to the Fourth Additional Provision of Law 38/1999, of November 5, on the regulation of building, it must be verified that in the execution projects that fall under the exclusive competence of architects, the safety and health studies are signed by an architect or technical architect, denying their visa in case they are signed by another technician.” In relation to this collegiate agreement, this Council in its Agreement of June 15, 2009, made, among others, the following legal considerations: “FIFTH.- (…) Although it is true that the previous interpretation [that in the execution projects of exclusive competence of architects, the safety and health studies must be signed by architects or technical architects] has broad judicial support, it is also true that the Supreme Court has not yet ruled on this specific issue. This, combined with the fact that there is no legal or regulatory provision that expressly excludes engineers and technical engineers from signing safety and health studies in works of eminently residential uses, leads us to base the defense of a more pro-competitive interpretation. Thus, in the absence of specificity in Royal Decree 1627/1997, which refers generically to the “competent technician” to sign the safety and health studies, as well as the jurisprudence of the Supreme Court regarding professional qualifications to carry out certain activities, could support such interpretation.</w:t>
      </w:r>
    </w:p>
    <w:p>
      <w:r>
        <w:rPr>
          <w:b/>
        </w:rPr>
        <w:t>[Pages 10–12]</w:t>
      </w:r>
    </w:p>
    <w:p>
      <w:r>
        <w:t>proceedings does not impose a restrictive interpretation regarding the qualifications required to carry out the safety and health studies.</w:t>
      </w:r>
    </w:p>
    <w:p>
      <w:r>
        <w:t>In conclusion, the new agreement presented by the Superior Council within the framework of the proceedings does not impose a restrictive interpretation regarding the qualifications required to carry out the safety and health studies. The Council considers that the commitments proposed are appropriate to resolve the anticompetitive effects derived from the previous agreement of October 6, 2005, and thus aligns with the provisions of Articles 52 of the LDC and 39 of the RDC.</w:t>
      </w:r>
    </w:p>
    <w:p>
      <w:r>
        <w:rPr>
          <w:b/>
        </w:rPr>
        <w:t>[Pages 13–14]</w:t>
      </w:r>
    </w:p>
    <w:p>
      <w:r>
        <w:t>conventional termination incorporates the current regulations regarding the preparation of safety and health studies, and does not establish any reservation of activity in favor of the collective it represents by denying the visa to the building project in question, allowing such studies to be prepared by any competent technician (either directly or, where appropriate, under the responsibility of the coordinator), and to be submitted for collegiate visa within the framework of the execution project in which they are integrated.</w:t>
      </w:r>
    </w:p>
    <w:p>
      <w:r>
        <w:t>This Council also shares the consideration made by the DI in its Proposal for conventional termination that the adoption by the Superior Council of an agreement like the one presented within the framework of the commitments has as a necessary limit the regulation established in the Law on the Organization of Building and in RD 1627/1997, without it being the function of this collegiate body to interpret, either restrictively or extensively, what should be understood by "competent technician," especially since neither the legislator, nor the Administration, nor the courts have peacefully pronounced on this issue, as has been made evident throughout the file.</w:t>
      </w:r>
    </w:p>
    <w:p>
      <w:r>
        <w:t>In this regard, this Council finds it appropriate to emphasize that the interpretation that the various Colleges of Architects may be making or may make in the future of this legislation in each specific case has not been the subject of this file. However, and at least as long as there is no established jurisprudential line from the Supreme Court to the contrary, this Council reiterates its opinion that since the legislator has not expressly reserved to a specific profession the competence to sign the safety and health studies referred to in this Resolution, the professional college competent to grant the mandatory visa for the execution projects of buildings cannot, becoming both judge and party, interpret that such competence corresponds exclusively to its members, but rather to any competent technician according to their competencies and specialties.</w:t>
      </w:r>
    </w:p>
    <w:p>
      <w:r>
        <w:t>In light of the above, and considering the cited legal and regulatory provisions and those of general application, the Council of the National Competition Commission</w:t>
      </w:r>
    </w:p>
    <w:p>
      <w:r>
        <w:t>HAS RESOLVED</w:t>
      </w:r>
    </w:p>
    <w:p>
      <w:r>
        <w:t>FIRST.- To declare the Conventional Termination of the sanctioning file S/0002/07, deeming adequate and binding the commitment presented by the Superior Council of the Colleges of Architects of Spain, consisting of the adoption and submission to the territorial Colleges of Architects of the following agreement:</w:t>
      </w:r>
    </w:p>
    <w:p>
      <w:r>
        <w:t>1. Upon the visa of the execution projects, it must be verified, in accordance with Articles 3, 4, and 5 of Royal Decree 1627/1997 in relation to the Fourth Provision of Law 38/1999, on the Organization of Building, the incorporation into them of the corresponding safety and health studies, drafted by their coordinators in matters of safety and health or by other competent technicians according to their competencies and specialties.</w:t>
      </w:r>
    </w:p>
    <w:p>
      <w:r>
        <w:t>2. The agreement of the plenary session of the Superior Council dated October 6, 2005, regarding safety and health studies is revoked and rendered ineffective.”</w:t>
      </w:r>
    </w:p>
    <w:p>
      <w:r>
        <w:t>SECOND.- The Superior Council of the Colleges of Architects of Spain is obliged to comply with the commitment set forth in the previous numeral.</w:t>
      </w:r>
    </w:p>
    <w:p>
      <w:r>
        <w:t>THIRD.- The Superior Council of the Colleges of Architects of Spain will communicate this Resolution of conventional termination to all its territorial colleges of architects, which, in turn, will convey it to their members in the manner determined during the compliance monitoring phase of this Resolution.</w:t>
      </w:r>
    </w:p>
    <w:p>
      <w:r>
        <w:t>Likewise, the Superior Council of Colleges of Architects of Spain will forward to the Investigation Directorate of the CNC the documentation proving that the previous communications have been effectively carried out.</w:t>
      </w:r>
    </w:p>
    <w:p>
      <w:r>
        <w:t>FOURTH.- To entrust the Investigation Directorate with the monitoring of this Resolution of Conventional Termination.</w:t>
      </w:r>
    </w:p>
    <w:p>
      <w:r>
        <w:t>This Resolution shall be communicated to the Investigation Directorate and notified to the interested parties, informing them that no administrative appeal is available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