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https://www.cnmc.es/expedientes/s000220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PRESS RELEASE</w:t>
        <w:br/>
        <w:t>The CNMC investigates possible anti-competitive practices in the management of visual artists' rights</w:t>
      </w:r>
    </w:p>
    <w:p>
      <w:r>
        <w:t>- It is being examined whether VEGAP (Visual Entity for the Management of Plastic Artists) may have set singular exploitation prices for works protected by intellectual property rights in an anti-competitive manner.</w:t>
        <w:br/>
        <w:t>- Possible unfair commercial conditions towards rights holders and users are also being investigated.</w:t>
      </w:r>
    </w:p>
    <w:p>
      <w:r>
        <w:t>Madrid, January 7, 2025.- The CNMC has initiated sanction proceedings against the intellectual property rights management entity VEGAP (Visual Entity for the Management of Plastic Artists) for possible anti-competitive practices in the management of intellectual property rights of visual creators in Spain (S/0002/20).</w:t>
      </w:r>
    </w:p>
    <w:p>
      <w:r>
        <w:t>Specifically, the CNMC is investigating whether VEGAP would have established prices for exploitation licenses of works that require the individualized authorization of their holder, thus restricting competition.</w:t>
      </w:r>
    </w:p>
    <w:p>
      <w:r>
        <w:t>In addition, possible unfair conditions towards rights holders who entrust their management to VEGAP and towards users who contract licenses to use these works are being investigated.</w:t>
      </w:r>
    </w:p>
    <w:p>
      <w:r>
        <w:t>After gathering information during the reserved information phase, the CNMC considers that there are reasonable indications of the commission, by VEGAP, of a possible infringement of Articles 1 and 2 of Law 15/2007, of July 3, on the Defense of Competition (LDC) and Articles 101 and 102 of the Treaty on the Functioning of the European Union (TFEU).</w:t>
      </w:r>
    </w:p>
    <w:p>
      <w:r>
        <w:t>The initiation of this proceeding does not prejudge the final outcome of the investigation. A maximum period of 24 months is now opened for the instruction of the proceeding and for its resolution by the CNMC.</w:t>
      </w:r>
    </w:p>
    <w:p>
      <w:r>
        <w:t>Related content:</w:t>
        <w:br/>
        <w:t>- S/0002/20</w:t>
        <w:br/>
        <w:t>Unofficial document, intended for the media, and which does not bind the CNMC. Reproduction allowed only if the source is cited. For more information</w:t>
        <w:br/>
        <w:t>Tel. +34 91 787 22 04</w:t>
        <w:br/>
        <w:t>www.cnmc.es</w:t>
        <w:br/>
        <w:t>prensa@cnmc.es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