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https://www.cnmc.es/expedientes/s000323</w:t>
      </w:r>
    </w:p>
    <w:p>
      <w:r>
        <w:t>Pages translated : 110</w:t>
      </w:r>
    </w:p>
    <w:p/>
    <w:p>
      <w:r>
        <w:rPr>
          <w:b/>
        </w:rPr>
        <w:t>[Pages 1–3]</w:t>
      </w:r>
    </w:p>
    <w:p>
      <w:r>
        <w:t xml:space="preserve">S/0003/23  </w:t>
        <w:br/>
        <w:t xml:space="preserve">LUMINORA  </w:t>
        <w:br/>
        <w:t xml:space="preserve">RESOLUTION  </w:t>
        <w:br/>
        <w:t xml:space="preserve">LUMINORA  </w:t>
        <w:br/>
        <w:t xml:space="preserve">S/0003/23  </w:t>
        <w:br/>
        <w:t xml:space="preserve">COUNCIL. COMPETITION CHAMBER  </w:t>
        <w:br/>
        <w:t xml:space="preserve">President  </w:t>
        <w:br/>
        <w:t xml:space="preserve">Ms. Cani Fernández Vicién  </w:t>
        <w:br/>
        <w:t xml:space="preserve">Counselors  </w:t>
        <w:br/>
        <w:t xml:space="preserve">Mr. Bernardo Lorenzo Almendros  </w:t>
        <w:br/>
        <w:t xml:space="preserve">Mr. Xabier Ormaetxea Garai  </w:t>
        <w:br/>
        <w:t xml:space="preserve">Secretary of the Council  </w:t>
        <w:br/>
        <w:t xml:space="preserve">Mr. Miguel Bordiu García-Ovies  </w:t>
        <w:br/>
        <w:t xml:space="preserve">In Barcelona, on December 20, 2023  </w:t>
        <w:br/>
        <w:t xml:space="preserve">The Competition Chamber of the Council of the National Commission of Markets and Competition (CNMC) with the expressed composition, has issued the following resolution in the reference file initiated against LUMINORA SOLAR DOCE, S.L. and its parent company SOLTEC DEVELOPMENT, S.A. for alleged restrictive practices of competition prohibited in Article 2 of Law 15/2007, of July 3, on the Defense of Competition (LDC).  </w:t>
        <w:br/>
        <w:t xml:space="preserve">CONTENT INDEX  </w:t>
        <w:br/>
        <w:t xml:space="preserve">1. BACKGROUND .............................................................................. 3  </w:t>
        <w:br/>
        <w:t xml:space="preserve">2. THE PARTIES .................................................................................... 6  </w:t>
        <w:br/>
        <w:t xml:space="preserve">2.1. SHARK POWER, S.L. (SHARK POWER) ........................................... 6  </w:t>
        <w:br/>
        <w:t xml:space="preserve">2.2. LUMINORA SOLAR DOCE, S.L. (LUMINORA) AND SOLTEC DEVELOPMENT, S.A. ......................................................................... 6  </w:t>
        <w:br/>
        <w:t xml:space="preserve">3. DEFINITION OF THE REFERENCE MARKET ............................ 7  </w:t>
        <w:br/>
        <w:t xml:space="preserve">National Commission of Markets and Competition 1 of 110  </w:t>
        <w:br/>
        <w:t xml:space="preserve">C/ Alcalá, 47 – 28014 Madrid - C/ Bolivia, 56 – 08018 Barcelona  </w:t>
        <w:br/>
        <w:t>www.cnmc.es</w:t>
      </w:r>
    </w:p>
    <w:p>
      <w:r>
        <w:t xml:space="preserve">S/0003/23  </w:t>
        <w:br/>
        <w:t xml:space="preserve">LUMINORA  </w:t>
        <w:br/>
        <w:t xml:space="preserve">3.1. Product market ....................................................................... 7  </w:t>
        <w:br/>
        <w:t xml:space="preserve">3.1.1. Regulatory framework .................................................................. 7  </w:t>
        <w:br/>
        <w:t xml:space="preserve">3.1.1.1. Introduction. The electricity sector .................................................. 7  </w:t>
        <w:br/>
        <w:t xml:space="preserve">3.1.1.2. Access and connection rules to the transmission network ............... 8  </w:t>
        <w:br/>
        <w:t xml:space="preserve">3.1.1.3. Access procedure to the node ....................................................... 11  </w:t>
        <w:br/>
        <w:t xml:space="preserve">3.1.1.4. The Single Node Interlocutor (IUN) .............................................. 17  </w:t>
        <w:br/>
        <w:t xml:space="preserve">3.1.2. Market definition ......................................................................... 22  </w:t>
        <w:br/>
        <w:t xml:space="preserve">3.2. Geographical market ................................................................... 26  </w:t>
        <w:br/>
        <w:t xml:space="preserve">4. ESTABLISHED FACTS ................................................................. 28  </w:t>
        <w:br/>
        <w:t xml:space="preserve">4.1. In the context of the access conflict CFT/DE/134/20 .................. 28  </w:t>
        <w:br/>
        <w:t xml:space="preserve">4.2. Current status at the node ............................................................ 45  </w:t>
        <w:br/>
        <w:t xml:space="preserve">4.3. Chronology of the main established facts ............................... 46  </w:t>
        <w:br/>
        <w:t xml:space="preserve">5. LEGAL GROUNDS ...................................................................... 47  </w:t>
        <w:br/>
        <w:t xml:space="preserve">5.1. Competence to resolve ............................................................... 47  </w:t>
        <w:br/>
        <w:t xml:space="preserve">5.2. Applicable regulations ................................................................ 47  </w:t>
        <w:br/>
        <w:t xml:space="preserve">5.3. Proposal of the instructing body ................................................ 47  </w:t>
        <w:br/>
        <w:t xml:space="preserve">5.4. Assessment of the Competition Chamber .................................. 48  </w:t>
        <w:br/>
        <w:t xml:space="preserve">5.4.1. Competence of the CNMC .......................................................... 48  </w:t>
        <w:br/>
        <w:t xml:space="preserve">5.4.2. Dominant position ....................................................................... 51  </w:t>
        <w:br/>
        <w:t xml:space="preserve">5.4.2.1. General principles ....................................................................... 51  </w:t>
        <w:br/>
        <w:t xml:space="preserve">5.4.2.2. Application to the case: dominant position of LUMINORA as IUN of the FAUSITA 400 kV node .................................................. 54  </w:t>
        <w:br/>
        <w:t xml:space="preserve">5.4.3. Abusive conduct ......................................................................... 59  </w:t>
        <w:br/>
        <w:t xml:space="preserve">5.4.3.1. General principles ....................................................................... 59  </w:t>
        <w:br/>
        <w:t xml:space="preserve">5.4.3.2. Discriminatory abuse .................................................................... 62  </w:t>
        <w:br/>
        <w:t xml:space="preserve">5.4.3.3. Exclusionary abuse ...................................................................... 65  </w:t>
        <w:br/>
        <w:t xml:space="preserve">5.4.3.4. Application to the case ................................................................ 68  </w:t>
        <w:br/>
        <w:t xml:space="preserve">5.4.3.4.1. Discriminatory abuse ................................................................. 68  </w:t>
        <w:br/>
        <w:t xml:space="preserve">5.4.3.4.2. Exclusionary abuse ................................................................. 80  </w:t>
        <w:br/>
        <w:t xml:space="preserve">5.4.3.5. Conclusion .................................................................................. 83  </w:t>
        <w:br/>
        <w:t xml:space="preserve">5.4.4. Effects on the market .................................................................. 85  </w:t>
        <w:br/>
        <w:t xml:space="preserve">5.4.4.1. General principles ....................................................................... 85  </w:t>
        <w:br/>
        <w:t xml:space="preserve">5.4.4.2. Application to the case ................................................................ 86  </w:t>
        <w:br/>
        <w:t xml:space="preserve">5.4.5. Qualification of the infringement ................................................ 88  </w:t>
        <w:br/>
        <w:t xml:space="preserve">National Commission of Markets and Competition 2 of 110  </w:t>
        <w:br/>
        <w:t xml:space="preserve">C/ Alcalá, 47 – 28014 Madrid - C/ Bolivia, 56 – 08018 Barcelona  </w:t>
        <w:br/>
        <w:t>www.cnmc.es</w:t>
      </w:r>
    </w:p>
    <w:p>
      <w:r>
        <w:t xml:space="preserve">S/0003/23  </w:t>
        <w:br/>
        <w:t xml:space="preserve">LUMINORA  </w:t>
        <w:br/>
        <w:t xml:space="preserve">5.4.6. Liability and culpability ................................................................. 89  </w:t>
        <w:br/>
        <w:t xml:space="preserve">5.4.7. Responses to previously unaddressed allegations ..................... 93  </w:t>
        <w:br/>
        <w:t xml:space="preserve">5.4.7.1. Regarding references to the resolution of the access conflict CFT/DE/134/20 .................................................................................. 93  </w:t>
        <w:br/>
        <w:t xml:space="preserve">5.4.7.2. Regarding the alleged absence of culpability ............................ 95  </w:t>
        <w:br/>
        <w:t xml:space="preserve">5.4.7.3. Regarding the non-existence of abuse due to the alleged incompatibility of the IUN figure with EU Law ........................................... 97  </w:t>
        <w:br/>
        <w:t xml:space="preserve">5.4.7.4. Request for oral hearing ................................................................. 99  </w:t>
        <w:br/>
        <w:t xml:space="preserve">5.4.7.5. Request for evidence gathering .................................................... 99  </w:t>
        <w:br/>
        <w:t xml:space="preserve">5.5. Determination of the sanction .................................................... 101  </w:t>
        <w:br/>
        <w:t xml:space="preserve">5.5.1. Criteria for imposing fines ........................................................... 101  </w:t>
        <w:br/>
        <w:t xml:space="preserve">5.5.1.1. General principles ....................................................................... 101  </w:t>
        <w:br/>
        <w:t xml:space="preserve">5.5.1.2. Application to the case ................................................................ 102  </w:t>
        <w:br/>
        <w:t xml:space="preserve">5.5.2. Fine ............................................................................................ 107  </w:t>
        <w:br/>
        <w:t xml:space="preserve">5.6. Prohibition of contracting ............................................................ 108  </w:t>
        <w:br/>
        <w:t xml:space="preserve">6. RESOLVES .................................................................................... 109  </w:t>
        <w:br/>
        <w:t xml:space="preserve">1. BACKGROUND  </w:t>
        <w:br/>
        <w:t xml:space="preserve">(1) On August 31, 2020, SHARK POWER REN 4, S.L., SHARK POWER REN 5, S.L., SHARK POWER REN 6, S.L., SHARK POWER 7 REN, S.L., SHARK POWER REN 8, S.L., SHARK POWER REN 9, S.L., and SHARK POWER REN 10, S.L. (hereinafter, collectively SHARK POWER), raised an access conflict to the electricity transmission network of RED ELÉCTRICA DE ESPAÑA (REE) against LUMINORA SOLAR DOCE, S.L. (hereinafter, LUMINORA) regarding the access rights of the photovoltaic plants owned by them “NARVAL,” “BELUGA,” “YUBARTA,” “MARSOPA,” “MARLIN,” “BARRACUDA,” “TINTORERA,” “ORCA,” “CACHALOTE,” “PIRAÑA,” “ESTURIÓN,” and “SILURO” of 50.01 megawatts (MW) each, at the FAUSITA 400 kilovolt (kV) substation.  </w:t>
        <w:br/>
        <w:t xml:space="preserve">(2) On October 5, 2020, the Energy Directorate agreed to initiate the corresponding file with reference number CFT/DE/134/20.  </w:t>
        <w:br/>
        <w:t xml:space="preserve">(3) Under Article 21.2 of Law 3/2013, of June 4, creating the National Commission of Markets and Competition (CNMC) and Article 14.2, letter d) of the Organic Statute of the CNMC (Royal Decree 657/2013), on July 6, 2021, the Competition Chamber agreed to inform without observations the proposed Resolution in the aforementioned conflict, without prejudice to analyzing the National Commission of Markets and Competition 3 of 110  </w:t>
        <w:br/>
        <w:t xml:space="preserve">C/ Alcalá, 47 – 28014 Madrid - C/ Bolivia, 56 – 08018 Barcelona  </w:t>
        <w:br/>
        <w:t>www.cnmc.es</w:t>
      </w:r>
    </w:p>
    <w:p>
      <w:r>
        <w:rPr>
          <w:b/>
        </w:rPr>
        <w:t>[Pages 4–6]</w:t>
      </w:r>
    </w:p>
    <w:p>
      <w:r>
        <w:t xml:space="preserve">S/0003/23  </w:t>
        <w:br/>
        <w:t xml:space="preserve">LUMINORA  </w:t>
        <w:br/>
        <w:t xml:space="preserve">facts within the framework of the provisions of Article 2 of Law 15/2007 of July 3, on the Defense of Competition (LDC).  </w:t>
        <w:br/>
        <w:t xml:space="preserve">(4) On July 8, 2021, the Regulatory Supervision Chamber (SSR) of the CNMC ruled in favor of the access conflict to the reference transport network CFT/DE/134/20 raised by SHARK POWER.  </w:t>
        <w:br/>
        <w:t xml:space="preserve">(5) In view of the SSR's Resolution of the CNMC in file CFT/DE/134/20, in order to determine the possible existence of indications justifying the initiation of a sanctioning procedure, in accordance with the provisions of Article 49.2 of the LDC, the Competition Directorate of the CNMC (DC) agreed on July 8, 2021, to carry out a preliminary investigation with reference number DP/021/21.  </w:t>
        <w:br/>
        <w:t xml:space="preserve">(6) On July 16, 2021, a request for information was sent to LUMINORA, in its capacity as the Single Interlocutor of Node (IUN) at the FAUSITA 400 kV substation during the access procedure that led to the aforementioned conflict (pages 1 to 7 of the reference file). The request was answered by LUMINORA on July 29, 2021 (pages 8 to 169).  </w:t>
        <w:br/>
        <w:t xml:space="preserve">(7) On January 20, 2023, the DC sent a request for information to SHARK POWER, as the affected company that raised the access conflict CFT/DE/134/20. The request was answered by SHARK POWER on February 14, 2023 (pages 170 to 283).  </w:t>
        <w:br/>
        <w:t xml:space="preserve">(8) On February 27, 2023, all actions taken during the preliminary investigation DP/021/21 were transferred to the reference file S/0003/23. On the same day, in accordance with Article 49.1 of the LDC, the DC agreed to initiate the sanctioning procedure S/0003/23, against LUMINORA and its parent SOLTEC DEVELOPMENT, S.A. (SOLTEC), for an alleged infringement of Article 2 of the LDC (pages 284 to 289.1).  </w:t>
        <w:br/>
        <w:t xml:space="preserve">(9) On March 1, 2023, LUMINORA, REE, and SHARK POWER were notified of the agreement to incorporate certain documents from the aforementioned CFT/DE/134/20 into the reference file, as they were deemed relevant for analyzing the facts from the perspective of competition law, granting a period of five days for the submission of allegations, in accordance with the provisions of Article 30 of the Competition Defense Regulation, approved by Royal Decree 261/2008, of February 22 (RDC), (pages 290 to 966).  </w:t>
        <w:br/>
        <w:t xml:space="preserve">(10) On March 9, 2023, in response to the aforementioned agreement, REE submitted a document referring to the allegations made in the context of the mentioned CFT/DE/134/20 (pages 1197 to 1209).  </w:t>
        <w:br/>
        <w:t xml:space="preserve">(11) On April 4, 2023, the DC sent a request for information to LUMINORA (pages 1252 to 1254.4), which was answered on April 24, 2023 (pages 1255 to 1266).  </w:t>
        <w:br/>
        <w:t xml:space="preserve">S/0003/23  </w:t>
        <w:br/>
        <w:t xml:space="preserve">LUMINORA  </w:t>
        <w:br/>
        <w:t xml:space="preserve">(12) On June 5, 2023, the Statement of Facts (PCH) was notified to LUMINORA (pages 1275 to 1336). LUMINORA submitted allegations to it, which were received by the CNMC on July 13, 2023 (pages 1375 to 1447).  </w:t>
        <w:br/>
        <w:t xml:space="preserve">(13) On June 26, 2023, a request for information was notified to LUMINORA and SOLTEC regarding their turnover (pages 1360 to 1365), which was answered on July 14, 2023 (pages 1452 to 1459).  </w:t>
        <w:br/>
        <w:t xml:space="preserve">(14) On July 25, 2023, a second request for information was notified to LUMINORA and SOLTEC regarding their turnover (pages 1464 to 1466.1), which was answered on August 27, 2023 (pages 1476 to 1481).  </w:t>
        <w:br/>
        <w:t xml:space="preserve">(15) On September 1, 2023, a third request for information was notified to SOLTEC regarding its turnover (pages 1482 to 1484.1), which was answered on September 22, 2023 (pages 1485 to 1490).  </w:t>
        <w:br/>
        <w:t xml:space="preserve">(16) On September 27, 2023, in accordance with Article 33.1 of the RDC, the DC agreed to close the instruction phase of the procedure (page 1493).  </w:t>
        <w:br/>
        <w:t xml:space="preserve">(17) On September 28, 2023, the Proposal for Resolution was issued (pages 1495-1605) in which the DC proposed to sanction LUMINORA for incurring in an abuse of dominant position, in the sense of Article 2 of the LDC, consisting of taking advantage of its dual condition as (i) necessary processor of access requests, as IUN of the FAUSITA 400 kilovolt (kV) node and (ii) promoter of renewable generation projects that required access to said node, to prioritize the processing of access to the network of its own projects to the detriment of SHARK POWER's projects that competed with LUMINORA's for the available capacity at said node.  </w:t>
        <w:br/>
        <w:t xml:space="preserve">(18) On November 8, 2023, LUMINORA's allegations to the proposal for resolution were received (pages 1621 to 1685).  </w:t>
        <w:br/>
        <w:t xml:space="preserve">(19) On November 10, 2023, the DC submitted its Report and Proposal for Resolution to the Competition Chamber of the CNMC.  </w:t>
        <w:br/>
        <w:t xml:space="preserve">(20) On December 13, 2023, the Competition Chamber of the CNMC Council adopted an agreement requesting a report from the SSR regarding the present file, in accordance with Article 21.2 b) of Law 3/2013 of June 4, creating the National Commission of Markets and Competition (LCNMC). On December 15, 2023, the Regulatory Supervision Chamber of the CNMC Council issued the respective report (page 1688).  </w:t>
        <w:br/>
        <w:t xml:space="preserve">(21) The Competition Chamber of the CNMC Council deliberated and ruled on the matter in its meeting of December 20, 2023.  </w:t>
        <w:br/>
        <w:t xml:space="preserve">S/0003/23  </w:t>
        <w:br/>
        <w:t xml:space="preserve">LUMINORA  </w:t>
        <w:br/>
        <w:t xml:space="preserve">2. THE PARTIES  </w:t>
        <w:br/>
        <w:t xml:space="preserve">2.1. SHARK POWER, S.L. (SHARK POWER)  </w:t>
        <w:br/>
        <w:t xml:space="preserve">(22) SHARK POWER1 aims to develop, construct, assemble, commission, operate, and maintain renewable energy plants, as well as the production and sale of electricity obtained through the operation of such plants.  </w:t>
        <w:br/>
        <w:t xml:space="preserve">(23) It was incorporated on May 27, 2020, with its sole administrator being SHARK POWER, S.L., and its ultimate parent ENEL GREEN POWER ESPAÑA, S.L., which in turn is the attorney of SHARK POWER REN 4, S.L.2.  </w:t>
        <w:br/>
        <w:t xml:space="preserve">(24) SHARK POWER REN 4, S.L. has a share capital of €3,0003.  </w:t>
        <w:br/>
        <w:t xml:space="preserve">(25) SHARK POWER, which promoted 12 projects of installations4, filed the access conflict CFT/DE/134/20.  </w:t>
        <w:br/>
        <w:t xml:space="preserve">2.2. LUMINORA SOLAR DOCE, S.L. (LUMINORA) AND SOLTEC DEVELOPMENT, S.A.  </w:t>
        <w:br/>
        <w:t xml:space="preserve">(26) LUMINORA SOLAR DOCE, S.L. (LUMINORA) was incorporated on February 12, 2020, and its corporate purpose is the promotion and execution of projects for the production of electrical energy, using solar or photovoltaic energy. It has a share capital of €3,0005.  </w:t>
        <w:br/>
        <w:t xml:space="preserve">(27) LUMINORA belongs to SOLTEC DEVELOPMENT, S.A. (formerly named POWERTIS, S.A.), which holds 100% of its shares and has a share capital of €5,600,000.6  </w:t>
        <w:br/>
        <w:t>(28) LUMINORA has acted as IUN of the FAUSITA 400 kV substation since July 27, 2020, and is directly the promoter of the FV Islas Menores I installation of 50 MW and indirectly of four other photovoltaic installations of 50 MW each (FV Islas Menores II, FV Islas Menores III, FV</w:t>
      </w:r>
    </w:p>
    <w:p>
      <w:r>
        <w:rPr>
          <w:b/>
        </w:rPr>
        <w:t>[Pages 7–9]</w:t>
      </w:r>
    </w:p>
    <w:p>
      <w:r>
        <w:t xml:space="preserve">S/0003/23  </w:t>
        <w:br/>
        <w:t xml:space="preserve">LUMINORA  </w:t>
        <w:br/>
        <w:t xml:space="preserve">Islas Menores IV and FV Islas Menores V), owned by several companies of the same business group previously known as Powertis.7  </w:t>
        <w:br/>
        <w:t xml:space="preserve">3. DEFINITION OF THE REFERENCE MARKET  </w:t>
        <w:br/>
        <w:t xml:space="preserve">3.1. Product Market  </w:t>
        <w:br/>
        <w:t xml:space="preserve">(29) The investigated behaviors are related to the market for access and connection to the electricity transmission network at certain nodes8, with effects on the related market of electricity generation and affecting, in this particular case, access to the transmission network at the FAUSITA 400 kV substation.  </w:t>
        <w:br/>
        <w:t xml:space="preserve">(30) Consequently, the regulatory framework governing the access and connection procedure to the electricity transmission network, as well as its development, is analyzed below.  </w:t>
        <w:br/>
        <w:t xml:space="preserve">3.1.1. Regulatory Framework  </w:t>
        <w:br/>
        <w:t xml:space="preserve">3.1.1.1. Introduction. The Electricity Sector  </w:t>
        <w:br/>
        <w:t xml:space="preserve">(31) Since the approval of Law 54/1997, of November 27, on the Electricity Sector (LSE), the electricity sector is characterized by the coexistence of activities carried out under free competition and regulated activities.  </w:t>
        <w:br/>
        <w:t xml:space="preserve">(32) Thus, in accordance with Article 8 of the current LSE, the activities of electricity transmission and distribution, carried out under a natural monopoly typical of network industries, as well as system operation and market operation, are provided under a regulated economic and operational regime. Meanwhile, the activities of generation, production, and marketing of electricity, as well as energy recharge services, are developed under free competition.  </w:t>
        <w:br/>
        <w:t xml:space="preserve">(33) The activity of electricity generation consists of the transformation of a primary energy source (thermal, wind, solar, hydraulic, etc.) into electrical energy. A particular case of such activities is the production of electricity from renewable energy sources, an activity regulated, among other regulations, by Royal Decree 413/2014, of June 6, which regulates the activity of electricity production from renewable energy sources, cogeneration, and waste (RD 413/2014).  </w:t>
        <w:br/>
        <w:t xml:space="preserve">(34) On the other hand, according to Article 4 of Royal Decree 1955/2000, of December 1, which regulates the activities of transportation, distribution, marketing, supply, and authorization procedures for electricity installations (RD 1955/2000), the transportation activity is that which aims to transmit electricity through the transmission network, in order to supply it to distributors, final consumers, or to meet international exchanges.  </w:t>
        <w:br/>
        <w:t xml:space="preserve">(35) For these purposes, the transmission network will consist of lines and parks with a voltage equal to or greater than 220 kV, international interconnection lines, 400/220 kV transformers, and interconnections between the peninsular system and the island and extra-peninsular systems, as well as inter-island connections9.  </w:t>
        <w:br/>
        <w:t xml:space="preserve">(36) According to Article 30 of the LSE, REE is the operator of the electrical system and manager of the transmission network, being responsible for ensuring the security and continuity of electricity supply, the development and expansion of the transmission network, and ensuring third-party access to said transmission network on equal terms10.  </w:t>
        <w:br/>
        <w:t xml:space="preserve">3.1.1.2. Access and Connection Rules to the Transmission Network  </w:t>
        <w:br/>
        <w:t xml:space="preserve">(37) The existence of activities carried out under a natural monopoly, such as the transportation and distribution of electricity, means that access to these networks is configured as a right that must be guaranteed. Such access is a fundamental element of the liberalization of the electricity sector and the existence of a competitive market, as confirmed by both Spanish sector regulations and those of the European Union (the EU or the Union)11.  </w:t>
        <w:br/>
        <w:t xml:space="preserve">(38) This is stipulated in Article 8, paragraph 3, of the LSE: "Access of third parties to the transmission and distribution networks is guaranteed under the technical and economic conditions established in this law and under the terms that are established by regulation by the Government."  </w:t>
        <w:br/>
        <w:t xml:space="preserve">9 The transmission network will also include those facilities for which, as a result of the planning process, it is determined that they have transportation functions, as well as the assets (electric or not) necessary for the proper functioning of the transmission network facilities (Article 5 of RD 1955/2000).  </w:t>
        <w:br/>
        <w:t xml:space="preserve">10 On June 7, 2022, the group changed its commercial brand to REDEIA to strengthen its positioning as a global manager of essential infrastructures and accommodate all its businesses. However, the corporate name has not changed and continues to be Red Eléctrica Corporación, S.A.  </w:t>
        <w:br/>
        <w:t xml:space="preserve">11 Directive (EU) 2019/944 of the European Parliament and of the Council, of June 5, 2019, on common rules for the internal electricity market and amending Directive 2012/27/EU.  </w:t>
        <w:br/>
        <w:t xml:space="preserve">(39) Article 33 of the LSE establishes that the right of access is the "right to use the network under legally or regulatory determined conditions" and that the access permit is "that which is granted for the use of the network to which the installation is connected."  </w:t>
        <w:br/>
        <w:t xml:space="preserve">(40) Likewise, Article 33 of the LSE establishes that the granting of an access permit will be based on compliance with the technical criteria of safety, regularity, quality of supply, sustainability, and economic efficiency of the electrical system, established by regulation by the Government or the CNMC as appropriate. The application of these criteria will determine the existence or not of access capacity.  </w:t>
        <w:br/>
        <w:t xml:space="preserve">(41) In evaluating access capacity, all nodes influencing the node to which the installation is connected must be considered, in addition to the node itself, taking into account existing production and consumption facilities with valid access and connection permits. Similarly, in the aforementioned evaluation, the network to be considered will be the existing or planned transmission network with binding character or the existing distribution network or included in the investment plans approved by the General State Administration under certain conditions.  </w:t>
        <w:br/>
        <w:t xml:space="preserve">(42) Likewise, the LSE, in its Article 33.2 establishes that "The access permit will be granted by the transmission network manager when the connection point to the network is in the transmission network or by the distribution network manager when the connection point to the network is in the distribution network." Paragraph 4 of the aforementioned Article 33 of the LSE determines that "the connection permit will be granted by the transport or distribution company that owns the network in which the point for which the connection permit is requested is located."  </w:t>
        <w:br/>
        <w:t xml:space="preserve">(43) In paragraph 6 of the same Article 33 LSE, it is emphasized that "In no case may the responsible parties establish other mechanisms different from those provided for in paragraphs 2 and 4 of this article for the granting of access and connection permits or for prioritization in granting them."  </w:t>
        <w:br/>
        <w:t xml:space="preserve">(44) The access permit will detail the specific conditions for using the network and may only be denied due to lack of access capacity. This denial must be justified and based on the objective criteria established by regulation regarding capacity limits, as stated in Article 33.7 of the LSE. Likewise, the right of access may be temporarily restricted, and similarly, this restriction must be justified and based on the aforementioned criteria.  </w:t>
        <w:br/>
        <w:t>(45) REE, as the transporter and system operator, is responsible for managing the regulated access and connection procedures to the transmission network and subsequent commissioning, in accordance with Article 37 of the LSE. The necessary permits at each phase of the process will be attributed by REE as system manager, in accordance with the technical requirements of</w:t>
      </w:r>
    </w:p>
    <w:p>
      <w:r>
        <w:rPr>
          <w:b/>
        </w:rPr>
        <w:t>[Pages 10–12]</w:t>
      </w:r>
    </w:p>
    <w:p>
      <w:r>
        <w:t xml:space="preserve">S/0003/23  </w:t>
        <w:br/>
        <w:t xml:space="preserve">LUMINORA  </w:t>
        <w:br/>
        <w:t xml:space="preserve">safety, supply quality, sustainability, and economic efficiency, as established by the applicable regulations at any given time.  </w:t>
        <w:br/>
        <w:t xml:space="preserve">(46) In the absence of the regulatory development of Article 33 LSE, access and connection to the grid and the operating conditions for generation facilities from renewable energy sources, cogeneration, and waste, as well as the development of the necessary grid facilities for connection and associated costs, were regulated, at the time the events analyzed in the reference file took place, by the aforementioned RD 1955/2000 and RD 413/2014, as well as Royal Decree 1699/2011, of November 18, which regulates the connection to the grid of small power electricity production facilities (RD 1699/2011), which aimed to transparently establish the conditions for access to the grid for new generators that were installed in the liberalized system.  </w:t>
        <w:br/>
        <w:t xml:space="preserve">(47) Subsequently, under the regulations that form the regulatory framework for access and connection to the electricity transport and distribution networks, Royal Decree 1183/2020, of December 29, on access and connection to the electricity transport and distribution networks (Royal Decree 1183/2020), regulated, in Articles 4 to 15, those aspects related to access and connection that fall within the competence of the Government.  </w:t>
        <w:br/>
        <w:t xml:space="preserve">(48) Likewise, Royal Decree 1183/2020 repealed certain articles of RD 1955/200012, including Article 53, which regulated the access and connection procedure to the grid, and Article 59 bis related to the economic guarantee for processing the access request to the transport grid of production facilities.13  </w:t>
        <w:br/>
        <w:t xml:space="preserve">(49) On the other hand, under the terms provided in Article 6.3 of RD 1183/2020, Circular 1/2021 of the CNMC14 has established the methodology and conditions for access and connection to the transport and distribution networks by electricity producers.  </w:t>
        <w:br/>
        <w:t xml:space="preserve">12 Specifically, Articles 53, 54, 57, 59-bis, 62, 66, and 66-bis of Royal Decree 1955/2000.  </w:t>
        <w:br/>
        <w:t xml:space="preserve">13 Royal Decree 1183/2020, of December 29, on access and connection to the electricity transport and distribution networks:  </w:t>
        <w:br/>
        <w:t xml:space="preserve">Single Repealing Provision. Regulatory repeal.  </w:t>
        <w:br/>
        <w:t xml:space="preserve">All provisions of equal or lower rank that oppose the provisions of this royal decree are repealed, and in particular: Articles 53, 54, 57, 59-bis, 62, 66, and 66-bis of Royal Decree 1955/2000, of December 1, which regulates the activities of transport, distribution, marketing, supply, and authorization procedures for electricity facilities. Articles 4.2 and 5 of Royal Decree 1699/2011, of November 18, which regulates the connection to the grid of small power electricity production facilities.”  </w:t>
        <w:br/>
        <w:t xml:space="preserve">14 Circular 1/2021, of January 20, 2021, which establishes the methodology and conditions for access and connection to the transport and distribution networks of electricity production facilities.  </w:t>
        <w:br/>
        <w:t xml:space="preserve">S/0003/23  </w:t>
        <w:br/>
        <w:t xml:space="preserve">LUMINORA  </w:t>
        <w:br/>
        <w:t xml:space="preserve">(50) Finally, the technical and detailed aspects are included in the operating procedures P.O. 12.1 and P.O. 12.2 and the corresponding operating procedures in non-peninsular territories.15  </w:t>
        <w:br/>
        <w:t xml:space="preserve">3.1.1.3. Access Procedure to the Node  </w:t>
        <w:br/>
        <w:t xml:space="preserve">(51) The access procedure to a node of the electricity transport grid was regulated in Articles 53 and 59 bis of RD 1955/2000 (currently repealed)16, which was developed in section 4.3 of Operating Procedure 12.1 approved by Resolution of February 11, 2005, of the Secretary of State for Energy. Although these articles were repealed by Royal Decree 1183/2020, they were in force until December 2020 and apply to the reference file as they were in force at the time the analyzed events occurred.  </w:t>
        <w:br/>
        <w:t xml:space="preserve">(52) Starting in 2019, criteria for action were established aimed at improving the processing of coordinated requests, which are included in the "Descriptive Guide to the Access Procedure to the Grid"17 and in the "Descriptive Guide to the Connection Procedure to the Grid"18 that REE makes available to potential access applicants on its corporate website. This website details the procedure to be followed by any agent wishing to connect to the transport grid or to the distribution grid with significant impact on the transport grid.  </w:t>
        <w:br/>
        <w:t xml:space="preserve">(53) The access and connection procedure for promoters of renewable generation facilities is basically governed by the same rules as the access of any other type of generation, with the exception of the particular conditions established in Annex XV of RD 413/2014,19 which provides that the processing of access and connection to the transport grid is to be carried out jointly and coordinated through the figure of the IUN, for those cases where several generators must share a connection point:  </w:t>
        <w:br/>
        <w:t xml:space="preserve">15 Available on the REE website https://www.ree.es/es/actividades/operacion-del-sistema-electrico/procedimientos-de-operacion.  </w:t>
        <w:br/>
        <w:t xml:space="preserve">16 Repealing provision of Royal Decree 1183/2020, of December 29, on access and connection to the electricity transport and distribution networks.  </w:t>
        <w:br/>
        <w:t xml:space="preserve">17 Available on the REE website: Regulations, guides, forms, and other documentation | Red Eléctrica de España (www.ree.es).  </w:t>
        <w:br/>
        <w:t xml:space="preserve">18 Available on the REE website: Regulations, guides, forms, and other documentation | Red Eléctrica de España (www.ree.es).  </w:t>
        <w:br/>
        <w:t xml:space="preserve">19 Which replaced section 5.2 of Annex XI of Royal Decree 661/2007: “When several special regime generators share a connection point to the transport grid, the processing of access and connection procedures, before the system operator and the transport operator of the corresponding park, as well as the coordination with the latter after the commissioning of the generation, must be carried out jointly and coordinated by a Unique Node Interlocutor who will act on behalf of the generators, under the terms and with the functions established.”  </w:t>
        <w:br/>
        <w:t xml:space="preserve">S/0003/23  </w:t>
        <w:br/>
        <w:t xml:space="preserve">LUMINORA  </w:t>
        <w:br/>
        <w:t xml:space="preserve">“4. When several generators share a connection point to the transport grid, the processing of access and connection procedures, before the system operator and transport operator, as well as the coordination with the latter after the commissioning of the generation, must be carried out jointly and coordinated by a Unique Node Interlocutor who will act on behalf of the generators, under the terms and with the functions established.”  </w:t>
        <w:br/>
        <w:t xml:space="preserve">(54) Therefore, as will be seen below, in the case of access requests for renewable generation, the procedure is fundamentally the same, with the particularity that the processing for these facilities, instead of being carried out individually by each applicant, must be carried out jointly and coordinated through the figure of the IUN, who will act on behalf of the generators sharing a connection point.  </w:t>
        <w:br/>
        <w:t xml:space="preserve">(55) The access and connection procedure to the transport grid consisted, at the time of the occurrence of the disputed events, fundamentally of the following steps:  </w:t>
        <w:br/>
        <w:t xml:space="preserve">1. Before formalizing an access request to the transport grid before the IUN, the promoter had to deposit an economic guarantee equivalent to €40/kW installed (Article 59 bis of RD 1955/2000).20 The receipt proving that this guarantee had been deposited had to be presented by the promoter to the competent authority for granting the installation authorization. This authority was the Ministry for Ecological Transition for installations connected to a voltage higher than 400 kV and the corresponding Autonomous Community for installations connected to a voltage of 220 kV. The corresponding administration communicated to REE the proper establishment of the guarantee (CACG). The presentation of this receipt constituted a requirement for the initiation of the procedure21.  </w:t>
        <w:br/>
        <w:t xml:space="preserve">2. Subsequently, access applicants had to submit their request to the System Operator and Manager of the Transport Grid (REE), through the IUN. This had to proceed, when there was more than one applicant, to make a joint and coordinated access request (Article 53 RD 1955/200022 and P012). This request contained the necessary information for REE to conduct studies to determine the existence of access capacity.23  </w:t>
        <w:br/>
        <w:t xml:space="preserve">20 Article 59 bis of RD 1955/200, repealed by RD 1183/2020, of December 29, but applicable as it was in force at the time of the analyzed events in the reference file.  </w:t>
        <w:br/>
        <w:t xml:space="preserve">21 The confirmation of the guarantees is necessary to process the access request, but it is not essential to initiate said processing, which may remain suspended until the receipt of the aforementioned confirmation of guarantees.  </w:t>
        <w:br/>
        <w:t xml:space="preserve">22 Article 53 of RD 1955/2000, repealed by RD 1183/2020, of December 29, but applicable as it was in force at the time of the analyzed events in the reference file.  </w:t>
        <w:br/>
        <w:t xml:space="preserve">23 The format and support will be established by REE and provided to the agents making the access request, usually via telematics (although REE often also requests submission in paper), including the correctly completed form and the corresponding technical documentation.  </w:t>
        <w:br/>
        <w:t xml:space="preserve">Comisión Nacional de los Mercados y la Competencia 12 de 110  </w:t>
        <w:br/>
        <w:t xml:space="preserve">C/ Alcalá, 47 – 28014 Madrid - C/ Bolivia, 56 – 08018 Barcelona  </w:t>
        <w:br/>
        <w:t>www.cnmc.es</w:t>
      </w:r>
    </w:p>
    <w:p>
      <w:r>
        <w:rPr>
          <w:b/>
        </w:rPr>
        <w:t>[Pages 13–15]</w:t>
      </w:r>
    </w:p>
    <w:p>
      <w:r>
        <w:t xml:space="preserve">S/0003/23  </w:t>
        <w:br/>
        <w:t xml:space="preserve">LUMINORA  </w:t>
        <w:br/>
        <w:t xml:space="preserve">3. Once the application is received, and after the accreditation of the prior requirements, REE would analyze the documentation and communicate, if applicable, the potential deficiencies to the agent who must proceed to rectify them within one month (Article 53.4 RD 1955/2000) 24. As the SSR of the CNMC has pointed out, failure to meet the deadline or the lack of rectification must lead to the inadmissibility of the application of the promoter that fails to comply and not of the entire joint and coordinated access application.25  </w:t>
        <w:br/>
        <w:t xml:space="preserve">4. Once the application is completed or rectified, REE would inform within a maximum period of two months about the existence of sufficient capacity of the electricity transmission network at the requested point (Article 55 of RD 1955/2000). In the event that access is viable, the requirements established for granting the administrative authorization must be fulfilled, in accordance with Article 53 of the LSE, in order to obtain the connection permit to the transmission network. Otherwise, REE would inform of the infeasibility of connection, proposing alternative connection solutions to the requesting agent (to the IUN or to the promoter), who should submit an update of their application for the selected alternative to be evaluated, when appropriate (Article 53.6 of RD 1955/2000).26  </w:t>
        <w:br/>
        <w:t xml:space="preserve">(56) The only regulatory criterion for the quantitative limitation on the requested access capacity for generation facilities27 is that associated with the short-circuit power of the connection node (or affected node) as established in Annex XV of RD 413/2014.  </w:t>
        <w:br/>
        <w:t xml:space="preserve">(57) Regarding the regulation of this procedure, LUMINORA refers to RD 1955/2000, the "Action Criteria to Facilitate Coordination in the Access Procedure to the REE Transmission Network"28, the "Descriptive Guide to the Access and Connection Procedure to the Network"29, and the "Descriptive Guide to the Connection Procedure to the Network"30 published by REE, to argue that coordinated access applications (SCA) must include the information and technical documentation that REE indicates must be sent to the IUN by the interested promoter, being their responsibility to deliver it31. Likewise, invoking the "Action Criteria," LUMINORA argues that, while it is the IUN's responsibility to carry out coordinated processing, the basic oversight of these tasks is the responsibility of REE and the CNMC is responsible for its supervision. LUMINORA maintains, in this regard, that if the requesting promoter does not provide the necessary information, the IUN may exclude it from the coordinated access application32. LUMINORA asserts that SHARK POWER never sent its access application to the IUN, nor provided the required information and technical documentation to complete the coordinated access application, so LUMINORA could not include SHARK POWER's plants in any of the SCAs submitted to REE in the absence of a request with complete information.  </w:t>
        <w:br/>
        <w:t xml:space="preserve">(58) The "Action Criteria," invoked by LUMINORA itself33, indicate that the tasks of monitoring and supervision correspond to REE and not to the IUN, which should only carry out a task of forwarding the submitted applications. According to the regulation of the access procedure and the cited Criteria, the IUN has the obligation to submit all applications that fall within the reference perimeter and it is up to REE to decide, if applicable, to request the rectification of any application it considers incomplete. As previously indicated, even if the confirmation of guarantees is necessary to process the access application, it is not essential to initiate such processing, which may remain suspended until the receipt of the aforementioned confirmation of guarantees.  </w:t>
        <w:br/>
        <w:t xml:space="preserve">(59) Precisely, the aforementioned "Action Criteria" indicate that an SCA will be improperly processed when there is an individual application with adequate establishment of the guarantee (CAGG) prior to the appointment of the IUN, which has been directed to the IUN but has not been incorporated into the SCA34:  </w:t>
        <w:br/>
        <w:t xml:space="preserve">“…REE has understood that a contingent is duly processed grouped for coordination purposes when there is no other individual application that has a CACG to REE with a date prior to that corresponding to any installation included in the joint application and of which REE is aware that it has been directed to the IUN providing individual information that has not been incorporated into the coordinated application.”  </w:t>
        <w:br/>
        <w:t xml:space="preserve">31 "Action Criteria to Facilitate Coordination in the Access Procedure to the REE Transmission Network," information provided by LUMINORA in the context of the access conflict and incorporated through testimony deduction (folio 407).  </w:t>
        <w:br/>
        <w:t xml:space="preserve">32 Paragraphs 70 to 92 of LUMINORA's allegations to the Resolution Proposal (folios 1621 to 1685).  </w:t>
        <w:br/>
        <w:t xml:space="preserve">33 See, for example, paragraph 62 of LUMINORA's allegations to the Resolution Proposal (folios 1621 to 1685).  </w:t>
        <w:br/>
        <w:t xml:space="preserve">34 Action Criterion 2 of the "Action Criteria to Facilitate Coordination in the Access Procedure to the REE Transmission Network," information provided by LUMINORA in the context of the access conflict and incorporated through testimony deduction (folios 405 to 409).  </w:t>
        <w:br/>
        <w:t xml:space="preserve">S/0003/23  </w:t>
        <w:br/>
        <w:t xml:space="preserve">LUMINORA  </w:t>
        <w:br/>
        <w:t xml:space="preserve">(60) Consequently, according to this procedure, and contrary to what LUMINORA maintains in its allegations35, it is up to REE to request the rectification of an application and, once such rectification is requested, only REE can exclude an application for being incorrect or incomplete. It is clear that the regulated procedure configures the IUN as a processor of the applications in a specific and determined manner, that is, jointly and coordinated, on behalf of the promoters who have submitted them to REE previously or of those directed to the designated IUN directly within a certain time period.  </w:t>
        <w:br/>
        <w:t xml:space="preserve">(61) In the specific context of the aforementioned RD 413/2014, if the capacity requested by several promoters exceeds the available power at the node in question, REE may urge them to reach an agreement for the distribution of the available power. If such an agreement is not reached, REE will distribute the access capacity proportionally to the requested power.  </w:t>
        <w:br/>
        <w:t xml:space="preserve">(62) As already noted, when permission cannot be granted due to lack of capacity, REE will propose an alternative connection at other nodes of the transmission network closer to the requested one that may have total or partial capacity to integrate the requested power, in accordance with the provisions of Article 53.6 of RD 1955/2000 (emphasis added):36  </w:t>
        <w:br/>
        <w:t xml:space="preserve">"When there is not sufficient capacity to meet the conditions expressed by the user in accordance with the operating and safety conditions of the network, the system operator and manager of the transmission network may deny the access request. This denial must be sufficiently justified and contain alternative access proposals at another connection point or, if possible, the necessary reinforcements in the transmission network to eliminate the access restriction."  </w:t>
        <w:br/>
        <w:t xml:space="preserve">(63) Likewise, if there are solutions in the distribution network, REE will inform the applicant of this possibility, but it will be subject to the assessment and authorization by the manager of that network.  </w:t>
        <w:br/>
        <w:t xml:space="preserve">(64) As the Regulatory Supervision Chamber of the CNMC has pointed out on several occasions37, the joint and coordinated processing of access applications to the network through the figure of the IUN established in Annex XV of RD 413/2014 represents a procedural specialty regarding  </w:t>
        <w:br/>
        <w:t xml:space="preserve">35 Paragraphs 67, 88 or 326 of LUMINORA's allegations to the Resolution Proposal (folios 1621 to 1685).  </w:t>
        <w:br/>
        <w:t xml:space="preserve">36 Article 53 of RD 1955/2000 repealed by RD 1183/2020, of December 29, but applicable as it was in force at the time of the events analyzed in the reference file.  </w:t>
        <w:br/>
        <w:t>37 Resolution of the SSR of September 24, 2020 (CFT/DE/032/19); Resolution of the SSR of June 6, 2019 (CFT/DE/031/18); Resolution of the SSR of December 10, 2018 (CFT/DE/028/18).</w:t>
      </w:r>
    </w:p>
    <w:p>
      <w:r>
        <w:rPr>
          <w:b/>
        </w:rPr>
        <w:t>[Pages 16–18]</w:t>
      </w:r>
    </w:p>
    <w:p>
      <w:r>
        <w:t xml:space="preserve">S/0003/23  </w:t>
        <w:br/>
        <w:t xml:space="preserve">LUMINORA  </w:t>
        <w:br/>
        <w:t xml:space="preserve">of the general rule of individual submission of requests in accordance with the regulation provided in RD 1955/2000.  </w:t>
        <w:br/>
        <w:t xml:space="preserve">(65) However, there is no express regulation determining which facilities must be part of a specific SCA, with the IUN being responsible for grouping individual requests to form the previous ones. In this way, in each specific case, a balance must be achieved between the individual processing provided in the aforementioned RD 1955/2000 and the joint and coordinated processing provided in RD 413/2014. That is to say, the IUN is obliged to carry out a joint and coordinated treatment of individual requests that may be considered contemporaneous, depending on the circumstances of each case.  </w:t>
        <w:br/>
        <w:t xml:space="preserve">(66) To this end, the Regulatory Supervision Chamber has established in numerous resolutions that such grouping must respond to criteria of reasonableness, avoiding discrimination and in accordance with the principle of temporal precedence based on the order of submission of individual requests38: "However, the fact is that it is exclusively up to this Commission in the event of conflict to analyze whether the joint processing or not of a series of facilities responds to criteria of reasonableness, preventing in any case an effective discrimination of the applicants in their right to have their request processed and responded to according to the order in which they were submitted, regardless of whether REE's action is in accordance with the law. The notion of joint processing, whose origin is to be more efficient in the connection phase, cannot, under any circumstances, constitute an obstacle to the right of access, a core element of network regulation."  </w:t>
        <w:br/>
        <w:t xml:space="preserve">(67) In the case of access requests to the distribution network, the promoter will direct their access request to the distribution network manager, who, after evaluating access to their network, will request acceptability for access from REE when there is a significant impact on the transport network and the operation of the system. Among the situations in which there would be a significant impact on the transport network are the access requests from generation facilities using renewable energy sources, cogeneration, and waste with a power greater than 10 MW and facilities of these characteristics with a power greater than 1 MW that are part of a grouping whose power exceeds 10 MW at the point of impact of the transport network.  </w:t>
        <w:br/>
        <w:t xml:space="preserve">(68) In cases where access to a new position is requested, such as the FAUSITA 400 kV node subject to this sanctioning file, which can be understood as planned in application of the provisions of the Fourth Additional Provision of Royal Decree-Law 15/2018, of October 5, on urgent measures for the energy transition and consumer protection (Royal Decree-Law 15/2018), applicable from October 7, 2018, the Regulatory Supervision Chamber of the CNMC has indicated in several Resolutions39, that in these cases it is up to REE and not the yet-to-be-designated IUN to determine when, how, and who should be included in an initial access request.  </w:t>
        <w:br/>
        <w:t xml:space="preserve">(69) REE must find a balanced and reasonable solution to coordinate the right of access applicants to processing according to the priority of their request with the regulatory obligation of joint and coordinated processing of access when such access applicants must share a connection point, making access to the node feasible, avoiding situations of accumulation of promoters who must share limited capacity.  </w:t>
        <w:br/>
        <w:t xml:space="preserve">(70) Therefore, in these cases of new positions planned according to the Fourth Additional Provision of Royal Decree-Law 15/2018, the Regulatory Supervision Chamber of the CNMC has established that40 "it must configure a solution that does not harm the first applicants and at the same time guarantees the joint and coordinated processing of contemporaneous requests. Therefore, it is necessary for REE to set a time limit to avoid harming the right of access of the first requests, a reference perimeter, including all individual requests that have been made to it up to that moment."  </w:t>
        <w:br/>
        <w:t xml:space="preserve">(71) Information regarding access and connection processes to the transport network is published on the REE website41.  </w:t>
        <w:br/>
        <w:t xml:space="preserve">3.1.1.4. The Single Node Interlocutor (IUN)  </w:t>
        <w:br/>
        <w:t xml:space="preserve">(72) The figure of the IUN was created with the aim of facilitating and speeding up the processing of access requests to the network, in cases where several promoters with renewable generation projects request access and connection at the same point of the transport network and therefore have to share common connection facilities.  </w:t>
        <w:br/>
        <w:t xml:space="preserve">(73) The figure of the IUN was established normatively in Royal Decree 661/200742 and was maintained in Royal Decree 413/2014, although its functions, responsibilities, and obligations were not detailed, so this figure was implemented without its regulation being completed.  </w:t>
        <w:br/>
        <w:t xml:space="preserve">(74) Thus, the limited regulation regarding the figure of the IUN is found in Royal Decree 413/2014, which provides that, for generation facilities using renewable energy, cogeneration, and waste, the processing of access and connection to the transport network is carried out jointly and coordinated through the IUN.  </w:t>
        <w:br/>
        <w:t xml:space="preserve">(75) Consequently, the IUN must be designated by the competent administrations, among the promoters requesting access to the same node, without the method of designation of the IUN having been subject to regulatory development.  </w:t>
        <w:br/>
        <w:t xml:space="preserve">(76) According to the aforementioned Annex XV of Royal Decree 413/2014, the resolution of access and connection procedures will be carried out in accordance with the provisions of Royal Decree 1955/2000 and Royal Decree 1699/2011, a regulation that is completed with the particular conditions included in the aforementioned Annex XV.  </w:t>
        <w:br/>
        <w:t xml:space="preserve">(77) The lack of regulatory development of the figure of the IUN, regarding its designation and certain issues related to the exercise of its powers, has generated a high level of conflict. Consequently, Royal Decree 1183/202043 abolished the figure of the IUN, although those who were appointed prior to the entry into force of that regulation will continue to exercise their functions concerning access and connection procedures that had been initiated before that entry into force44.  </w:t>
        <w:br/>
        <w:t xml:space="preserve">a) The designation of the IUN  </w:t>
        <w:br/>
        <w:t xml:space="preserve">(78) First of all, it should be noted that there is no express regulation governing the method of designation of the IUN. Under the previous Law 54/97, the designation of the IUN was carried out by the territorial administrations, as an extension of their authorizing powers in the energy sector. In this way, the General State Administration designated the IUNs at nodes with a voltage higher than 380 kV, and the Autonomous Communities did the same in the case of nodes with a voltage lower than 380 kV.  </w:t>
        <w:br/>
        <w:t xml:space="preserve">(79) Initially, the usual practice of the territorial administrations was to designate the first access applicant at each node as the IUN. At that time, the role of the IUN was limited to carrying out the administrative processing of the requests, once the capacity allocation had been made by the corresponding territorial administration and, therefore, when there was no longer competition among promoters for a specific margin of available capacity.  </w:t>
        <w:br/>
        <w:t xml:space="preserve">(80) Starting in 2018, within the framework established by the current LSE, some Autonomous Communities continued to designate the IUN, but many did not.  </w:t>
        <w:br/>
        <w:t xml:space="preserve">43 Royal Decree 1183/2020, of December 29, on access and connection to the transport and distribution networks of electrical energy.  </w:t>
        <w:br/>
        <w:t>44 The first transitional provision of RD 1183/2020, of December 29, establishes that "The single interlocutors of nodes who have been designated before the entry into force of this royal decree, pursuant to the provisions of Annex XV of Royal Decree 413/2014, of June 6, will continue to exercise their functions concerning the access and connection procedures that had been initiated before that entry into force."</w:t>
      </w:r>
    </w:p>
    <w:p>
      <w:r>
        <w:rPr>
          <w:b/>
        </w:rPr>
        <w:t>[Pages 19–21]</w:t>
      </w:r>
    </w:p>
    <w:p>
      <w:r>
        <w:t xml:space="preserve">S/0003/23  </w:t>
        <w:br/>
        <w:t xml:space="preserve">LUMINORA  </w:t>
        <w:br/>
        <w:t xml:space="preserve">declared incompetent to make such designation, urging REE to assume this designation function45. The designation of the IUN, in these cases, has been carried out by agreement among the promoters of the generation projects intending to access a specific node.  </w:t>
        <w:br/>
        <w:t xml:space="preserve">(81) REE also does not have the authority to designate the IUN or control its actions, limiting itself to verifying that the access request to the network is processed through the IUN, as required by the regulations. REE made an inquiry in 201946 to the CNMC regarding the selection of the IUN in the event that the corresponding Autonomous Community (or the competent authority) does not designate it, and more specifically, whether the first promoter requesting connection permission should be designated.  </w:t>
        <w:br/>
        <w:t xml:space="preserve">(82) According to usual practice, and as stated in the "Criteria for action to facilitate coordination in the access procedure to the transport network"47, published by REE, the process for designating the IUN begins with the existence of a minimum generation contingent that has the communication from the competent administrative body regarding the proper establishment of the guarantee (CACG) to enable a position (PO13.1).  </w:t>
        <w:br/>
        <w:t xml:space="preserve">(83) Once this contingent is identified, REE defines the so-called "reference perimeter," which will consist of those facilities that have at least submitted the proof of the guarantee deposit, as well as a correctly submitted telematic application. Once the perimeter is defined, REE informs the competent Autonomous Community so that it proceeds to designate the IUN. When the Autonomous Community does not designate the IUN, REE will establish a period of ten  </w:t>
        <w:br/>
        <w:t xml:space="preserve">45 As stated in the Report dated November 4, 2019, sent by the Energy Directorate at the request of the Competition Directorate in file S/0022/20 ENEL GREEN POWER ESPAÑA and incorporated into the reference file by means of testimony deduction (pages 1240 to 1251): Communication from the Junta de Andalucía dated 30/10/2018; Communication from the Government of Aragón dated 22/02/2019; Communication from the Government of the Canary Islands dated 27/02/2019. And on REE's website, "Specifically, for the Autonomous Communities of Andalucía, Aragón, Asturias, Catalonia, the Canary Islands, Galicia, and Madrid, REE directly proceeds to identify the IUN according to the guidelines received from the respective Autonomous Administrations and the previously indicated conditions." (https://www.ree.es/es/actividades/acceso-conexion-y-puesta-en-servicio/preguntas-frecuentes-acceso-y-conexion).  </w:t>
        <w:br/>
        <w:t xml:space="preserve">46 Inquiry CNS/DE/287/19, made by REE, was closed with this justification: "Due to the publication in the BOE of Royal Decree 1183/2020, of December 29, on access and connection to the transport and distribution networks of electrical energy and Circular 1/2021, of January 20, from the National Commission of Markets and Competition, which establishes the methodology and conditions for access and connection to the transport and distribution networks of electricity production facilities, it is considered that the response to the inquiry that led to the opening of this file is clearly stated in the aforementioned legislation, therefore the closure of this file is proceeded."  </w:t>
        <w:br/>
        <w:t xml:space="preserve">47 These guidelines have been published at https://www.ree.es/es/clientes/generador/acceso-conexion, Criteria for action to facilitate coordination in the access procedure to the transport network (PDF, ED.1, July 2020).  </w:t>
        <w:br/>
        <w:t xml:space="preserve">Comisión Nacional de los Mercados y la Competencia 19 de 110  </w:t>
        <w:br/>
        <w:t xml:space="preserve">C/ Alcalá, 47 – 28014 Madrid - C/ Bolivia, 56 – 08018 Barcelona  </w:t>
        <w:br/>
        <w:t>www.cnmc.es</w:t>
      </w:r>
    </w:p>
    <w:p>
      <w:r>
        <w:t xml:space="preserve">S/0003/23  </w:t>
        <w:br/>
        <w:t xml:space="preserve">LUMINORA  </w:t>
        <w:br/>
        <w:t xml:space="preserve">working days for the concurrent promoters to agree among themselves on the designation of an IUN.  </w:t>
        <w:br/>
        <w:t xml:space="preserve">(84) Once identified, the IUN will communicate its designation to REE, which will publish it on its website. Likewise, the IUN will have a period of one month to submit the coordinated access request to REE, which will include the facilities that are part of the aforementioned reference perimeter.  </w:t>
        <w:br/>
        <w:t xml:space="preserve">(85) For plants that request access after the definition of the reference perimeter (and that have submitted their application to REE before the publication of the designated IUN), REE will inform that it is proceeding to identify the IUN among a series of previous concurrent applicants and that they have preference to integrate a first coordinated access request, which could exhaust the capacity of the node. Until the aforementioned identification and the subsequent processing of the corresponding coordinated request, such subsequent requests will remain pending and will be processed in a subsequent coordinated request.  </w:t>
        <w:br/>
        <w:t xml:space="preserve">b) The attributions of the IUN in the access and connection process  </w:t>
        <w:br/>
        <w:t xml:space="preserve">(86) According to Annex XV of Royal Decree 413/2014, it is the responsibility of the IUN:  </w:t>
        <w:br/>
        <w:t xml:space="preserve">a) to process access and connection requests jointly and coordinatedly before the system operator of generation facilities that share a connection point to the transport network,  </w:t>
        <w:br/>
        <w:t xml:space="preserve">b) in the commissioning phase, coordinating the generators among themselves and with REE; and  </w:t>
        <w:br/>
        <w:t xml:space="preserve">c) in the necessary dialogue with REE regarding the maintenance of the facilities after the commissioning of the installation.  </w:t>
        <w:br/>
        <w:t xml:space="preserve">(87) It is the responsibility of REE to verify that the requests subject to the application of the aforementioned Annex XV are processed jointly and coordinated through the IUN, informing of the need to comply with such joint processing otherwise.  </w:t>
        <w:br/>
        <w:t xml:space="preserve">(88) Beyond what is provided in Royal Decree 413/2014, there is no other regulation that has developed the regulation on the responsibilities, rights, and obligations of the IUN.  </w:t>
        <w:br/>
        <w:t xml:space="preserve">(89) This lack of regulatory development regarding the attributions of the IUN has led to disparate forms of action in the performance of its functions, which, in turn, has generated disagreements and conflicts such as those that gave rise to the present investigation48.  </w:t>
        <w:br/>
        <w:t xml:space="preserve">48 Report dated November 4, 2019, sent by the Energy Directorate at the request of the Competition Directorate in file S/0022/20 ENEL GREEN POWER ESPAÑA and incorporated into the reference file by means of testimony deduction (pages 1240 to 1251).  </w:t>
        <w:br/>
        <w:t xml:space="preserve">Comisión Nacional de los Mercados y la Competencia 20 de 110  </w:t>
        <w:br/>
        <w:t xml:space="preserve">C/ Alcalá, 47 – 28014 Madrid - C/ Bolivia, 56 – 08018 Barcelona  </w:t>
        <w:br/>
        <w:t>www.cnmc.es</w:t>
      </w:r>
    </w:p>
    <w:p>
      <w:r>
        <w:t xml:space="preserve">S/0003/23  </w:t>
        <w:br/>
        <w:t xml:space="preserve">LUMINORA  </w:t>
        <w:br/>
        <w:t xml:space="preserve">(90) The Energy Directorate of the CNMC emphasizes that, despite the lack of regulation and development of the IUN figure, it is inserted into a broader regulatory framework, so it must respect, in any case, the general principle of non-discrimination among users in access to the transport network, especially when it is an exception to the general rule of individual processing of requests49.  </w:t>
        <w:br/>
        <w:t xml:space="preserve">(91) LUMINORA argues that, as the DC would have recognized in the Proposal for Resolution, the regulations governing the functions of the IUN are very scarce, unclear, and not properly developed, with the figure of the IUN having been questioned by the CNMC Council itself50. This last point refers to the "Agreement by which a Report is issued on the draft Royal Decree on access and connection to transport and distribution networks" from the CNMC Council dated September 20, 2018 (IPN/CNMC/017/18) to which the SSR Resolution of December 10, 2018, in file CFT/DE/028/1851 refers.  </w:t>
        <w:br/>
        <w:t xml:space="preserve">(92) To the above, we must respond by pointing out that, although the figure of the IUN has given rise to controversies derived from certain gaps in its regulation, this does not exempt the companies designated as IUN from fulfilling the attributions of this figure without incurring in the prohibition of abuse of dominant position, which is precisely what is evaluated in the present file.  </w:t>
        <w:br/>
        <w:t xml:space="preserve">(93) The basic functions of the IUN, to which reference has been made previously, are not in doubt. As the SSR has stated in this regard52: "Despite the scarce regulation regarding the functions or attributions of the IUN, from the reading of Annex XV of Royal Decree 413/20142, two clear normative attributions of the IUN emerge: a) to process access requests jointly and coordinatedly and b) to act as a representative of the promoters who share the access point."  </w:t>
        <w:br/>
        <w:t xml:space="preserve">(94) In other words, the normative indeterminacy regarding the details of how the IUN must perform such functions—whose essential content, we insist, is indeed clear—cannot be invoked by the operator occupying this position to take advantage, unpunished, of its role as a necessary intermediary between REE and the rest of the operators, in order to favor the processing of access of its  </w:t>
        <w:br/>
        <w:t xml:space="preserve">49 Report dated November 4, 2019, sent by the Energy Directorate at the request of the Competition Directorate in file S/0022/20 ENEL GREEN POWER ESPAÑA and incorporated into the reference file by means of testimony deduction (pages 1240 to 1251).  </w:t>
        <w:br/>
        <w:t xml:space="preserve">50 Paragraphs 47 and following of LUMINORA's allegations to the Proposal for Resolution (pages 1621 to 1685)  </w:t>
        <w:br/>
        <w:t xml:space="preserve">51 Referring to the "Agreement by which a Report is issued on the draft Royal Decree on access and connection to transport and distribution networks" from the CNMC Council dated September 20, 2018 (IPN/CNMC/017/18) to which the SSR Resolution of December 10, 2018, in file CFT/DE/028/18 refers.  </w:t>
        <w:br/>
        <w:t xml:space="preserve">52 SSR Resolution of the CNMC of December 10, 2018, in file CFT/DE/028/18 DENEB SOLAR S.L. AND CELENO SOLAR S.L. / REE.  </w:t>
        <w:br/>
        <w:t xml:space="preserve">Comisión Nacional de los Mercados y la Competencia 21 de 110  </w:t>
        <w:br/>
        <w:t xml:space="preserve">C/ Alcalá, 47 – 28014 Madrid - C/ Bolivia, 56 – 08018 Barcelona  </w:t>
        <w:br/>
        <w:t>www.cnmc.es</w:t>
      </w:r>
    </w:p>
    <w:p>
      <w:r>
        <w:rPr>
          <w:b/>
        </w:rPr>
        <w:t>[Pages 22–24]</w:t>
      </w:r>
    </w:p>
    <w:p>
      <w:r>
        <w:t xml:space="preserve">S/0003/23  </w:t>
        <w:br/>
        <w:t xml:space="preserve">LUMINORA  </w:t>
        <w:br/>
        <w:t xml:space="preserve">own facilities in situations where the demand from promoters of installations may exceed the limited capacity supply of the node.  </w:t>
        <w:br/>
        <w:t xml:space="preserve">3.1.2. Definition of market  </w:t>
        <w:br/>
        <w:t xml:space="preserve">(95) The relevant product market encompasses the set of products or services that, due to their characteristics, are particularly suitable for satisfying permanent needs and are scarcely substitutable by other products or services53. In this analysis, it is not sufficient to limit oneself to examining the objective characteristics of the relevant products; it is also necessary to consider the competitive conditions and the structure of supply and demand in that market54. The substitutability of a product or service from the demand perspective is the most immediate and effective means of restricting the behavior of suppliers of a particular product, especially regarding their pricing decisions55.  </w:t>
        <w:br/>
        <w:t xml:space="preserve">(96) The substitutability of supply can also be taken into account when defining markets in cases where its effects are equivalent to those of demand substitutability in terms of effectiveness and immediate response. This requires that suppliers can switch to manufacturing the reference products and marketing them in response to small permanent variations in relative prices, without requiring a considerable timeframe and investments or significant additional risks56.  </w:t>
        <w:br/>
        <w:t xml:space="preserve">(97) As recently analyzed by the Competition Chamber of the CNMC, the location and capacity of access nodes to the electricity transmission network determine the choice of a specific access point by promoters and the viability of a renewable generation project. Therefore, since promoters of installations compete at each node for the available capacity, under homogeneous conditions different from those governing the rest of the nodes, each substation or access node can be considered a market in itself57.  </w:t>
        <w:br/>
        <w:t xml:space="preserve">(98) LUMINORA rejects the notion that a market corresponding to an access node can be defined since the connection to the electricity transmission and distribution networks is based on a right of access guaranteed by the regulation of the electricity sector and not on market mechanisms58. The accused company also argues that, in any case, it does not carry out any economic activity that could lead to a violation of competition law59. Specifically, it defends that its role as IUN corresponds to a regulatory activity and not an economic one and that it is not active in any of the vertically related markets referred to in the DC in the PCH and the Proposal for Resolution – i.e., upstream transport market or downstream generation market – so that "there has been no action in a relevant market" and "the application of competition law falls away and, consequently, the prohibition of abuse of a dominant position"60.  </w:t>
        <w:br/>
        <w:t xml:space="preserve">(99) Regarding the alleged incorrectness in the definition of the market, it should first be noted that the fact that an activity is regulated or subject to certain access guarantees does not prevent the existence of a relevant market from being established. Such guarantees refer, moreover, to an obligation of means or transparent and diligent action, as the capacity of the nodes is limited and constitutes, therefore, a scarce good whose supply is usually exceeded by demand.  </w:t>
        <w:br/>
        <w:t xml:space="preserve">(100) On the supply side, the possibility of substitution of suppliers is limited by the access capacity at each node and the number of positions for evacuating the generated energy.  </w:t>
        <w:br/>
        <w:t xml:space="preserve">(101) The lack of capacity supply at a particular node cannot be resolved by constructing new ones due to limitations on the number of positions for evacuation that can be enabled in the electricity transmission network. This arises from the basic physical limitation in substations; from the existing regulations regarding the development of the transmission network that adhere to efficiency criteria in network development61 and regulatory guidelines that require that the decision on new positions be made through the planning of the transmission network (Royal Decree 1047/2013)62.  </w:t>
        <w:br/>
        <w:t xml:space="preserve">(102) Regarding access to an alternative connection point, prior to the entry into force of Royal Decree-Law 15/2018, of October 5, on urgent measures for energy transition and consumer protection, new positions additional to the existing ones could not be considered as planned installations and, therefore, potential connection alternatives. This circumstance would only apply after the entry into force of the aforementioned regulation and for those cases indicated in its fourth additional provision, leaving REE's ability to offer alternative connection points more restricted until that moment.  </w:t>
        <w:br/>
        <w:t xml:space="preserve">(103) From all this, the absence or difficulty of substitutability from the supply side arises, mainly due to technical and regulatory factors.  </w:t>
        <w:br/>
        <w:t xml:space="preserve">(104) The substitutability of the product from the demand side would be given by the fact that promoters consider that there are alternative nodes where the proposed project could be viable and economically profitable.  </w:t>
        <w:br/>
        <w:t xml:space="preserve">(105) As the CNMC Council already pointed out in the Resolution of June 10, 2022, the viability of a project is largely conditioned by the distance from the location of the generating plant to the connection node63.  </w:t>
        <w:br/>
        <w:t xml:space="preserve">(106) Given that the maximum energy production of a plant is limited by its design, reducing the amount of energy that can be fed into the system by increasing the distance to the connection point may mean that the project ceases to be economically viable64.  </w:t>
        <w:br/>
        <w:t xml:space="preserve">(107) Although the basic technical conditions are homogeneous across all nodes65, there is no doubt that the request from promoters is conditioned by the fact that the distance to the connection point increases costs for technical and administrative reasons, as a longer connection line is required, which also occupies more land and complicates administrative processing, both due to the greater land occupation and the greater environmental impact. Regarding technical difficulties, the resistance of the conducting cables causes losses proportional to the length of the cable. For this reason, the voltage generated at the producing plant suffers a "drop" in its transport to the node, which results in a reduction in the amount of electrical energy that can be introduced into the electrical system. This loss will be greater the longer the distance between the plant and the node.  </w:t>
        <w:br/>
        <w:t xml:space="preserve">62 Royal Decree 1047/2013, of December 27, which establishes the methodology for calculating the remuneration for the activity of electricity transmission.  </w:t>
        <w:br/>
        <w:t xml:space="preserve">63 CNMC Resolution of June 10, 2022 (File S/0022/20 ENEL GREEN POWER SPAIN), paragraph 61: "A greater distance to the connection point increases costs for technical and administrative reasons as a longer connection line is required, which also occupies more land and complicates administrative processing, both due to the greater land occupation and the greater environmental impact. Regarding technical difficulties, the resistance of the conducting cables causes losses proportional to the length of the cable. For this reason, the voltage generated at the producing plant suffers a 'drop' in its transport to the node, which results in a reduction in the amount of electrical energy that can be introduced into the electrical system. This loss will be greater the longer the distance between the plant and the node."  </w:t>
        <w:br/>
        <w:t xml:space="preserve">64 CNMC Resolution of June 10, 2022 (File S/0022/20 ENEL GREEN POWER SPAIN), paragraph 61.  </w:t>
        <w:br/>
        <w:t xml:space="preserve">65 There are, however, obvious differences associated with the voltage level or the technology of each substation that may affect the cost of the connection.  </w:t>
        <w:br/>
        <w:t xml:space="preserve">Comisión Nacional de los Mercados y la Competencia 24 de 110  </w:t>
        <w:br/>
        <w:t xml:space="preserve">C/ Alcalá, 47 – 28014 Madrid - C/ Bolivia, 56 – 08018 Barcelona  </w:t>
        <w:br/>
        <w:t>www.cnmc.es</w:t>
      </w:r>
    </w:p>
    <w:p>
      <w:r>
        <w:rPr>
          <w:b/>
        </w:rPr>
        <w:t>[Pages 25–27]</w:t>
      </w:r>
    </w:p>
    <w:p>
      <w:r>
        <w:t xml:space="preserve">S/0003/23  </w:t>
        <w:br/>
        <w:t xml:space="preserve">LUMINORA  </w:t>
        <w:br/>
        <w:t xml:space="preserve">due to access capacity limitations at each node66, so only the promoters wishing to access the same node compete among themselves for access to a limited resource (the access capacity)67.  </w:t>
        <w:br/>
        <w:t xml:space="preserve">(108) Although the criterion of temporal precedence guarantees, a priori, objective and transparent access conditions through which the principle of freedom of access to networks by third parties is materialized in a non-discriminatory manner, this criterion clearly conditions competition among the promoting companies68. In certain periods of time when there is available capacity at a node, those who are more diligent in processing their access requests will have greater options to acquire part of the available access capacity.  </w:t>
        <w:br/>
        <w:t xml:space="preserve">(109) Since the IUN is responsible for processing these access requests, it is appropriate to define a market for access to the network through a specific node and analyze the behavior of the IUN at each node from the perspective of competition law. This has been confirmed by the CNMC Council, as previously indicated, stating that each node would constitute a market in itself, being a highly localized market since the production and subsequent injection of electricity from renewable sources into the transmission network occurs in the vicinity of each access node69.  </w:t>
        <w:br/>
        <w:t xml:space="preserve">(110) It is concluded, therefore, that, contrary to what LUMINORA maintained in its allegations to the Proposal for Resolution, there are sufficient elements to define a market for access and connection to the transmission network at the FAUSITA 400 kV node, with effects on the related market of electricity generation, given that its unique characteristics determine the number and size of applicants competing for access based on the available capacity.  </w:t>
        <w:br/>
        <w:t xml:space="preserve">(111) Regarding LUMINORA's allegation that it was not active in the electricity market at the time the investigated events occurred, it is noted that this company was a direct or indirect promoter of up to 5 generation facilities (paragraph (28)), thus competing, due to the limited capacity of the node, with other promoters in order to inject the energy generated by its facilities into the electricity transmission network. This is notwithstanding that these were projected facilities that would only have activity in the future, as is often the case in the context of access procedures to a specific node of the transmission network. It is worth emphasizing in this regard that LUMINORA requested, on its own initiative, its designation as IUN of the FAUSITA 400 kV node (paragraphs (126) and (127)), which can only be explained by its interest in achieving access for these projected facilities, given that the IUN does not engage in a remunerated activity. Thus, LUMINORA's role as IUN in the relevant market for access and connection to the transmission network at the FAUSITA 400 kV node had, at the very least, the capacity to have effects in the related market of electricity generation, in which LUMINORA would have a presence through the facilities of which it was a direct or indirect promoter.  </w:t>
        <w:br/>
        <w:t xml:space="preserve">(112) In any case, it is emphasized what was stated by the DC in the Proposal for Resolution regarding the fact that the actions of LUMINORA as an operator in the electricity generation market are not evaluated in this File, but rather its actions as IUN in a specific node of the transmission network, in accordance with sectoral regulations as a necessary processor and representative of the applicants in the access procedure at the same node, which has the obligation to group and present the submitted requests jointly and in a coordinated manner, complying with the reference perimeter set in this case by the system operator.  </w:t>
        <w:br/>
        <w:t xml:space="preserve">3.2. Geographic Market  </w:t>
        <w:br/>
        <w:t xml:space="preserve">(113) The jurisprudence of the Court of Justice of the European Union (CJEU)70, in line with precedents and with the European Commission's Communication regarding the definition of the reference market, has defined the relevant geographic market as:71  </w:t>
        <w:br/>
        <w:t xml:space="preserve">“[…] the geographical area where the product in question is marketed and where the conditions of competition are sufficiently homogeneous to allow for the assessment of the impact of the economic power of a particular company.”  </w:t>
        <w:br/>
        <w:t xml:space="preserve">(114) Paragraph 30 of the aforementioned Communication establishes that, to define the perimeter of the relevant market, it is necessary to determine whether there are obstacles that protect companies located in an area from the pressure of competitive companies located outside that area, in order to determine with precision the degree of interpenetration of markets on a national, European, or global scale.  </w:t>
        <w:br/>
        <w:t xml:space="preserve">(115) National precedents72 have concluded that there is a single wholesale market for the production and supply of electricity, which is separate from the markets for transmission, distribution, and supply of electricity, without any distinction between the production technologies used to generate electricity, nor whether they are based on renewable sources or not.  </w:t>
        <w:br/>
        <w:t xml:space="preserve">(116) The relevant geographic market can therefore be defined as the territory in which all economic operators are in similar or sufficiently homogeneous competitive conditions, specifically regarding the products or services in question.  </w:t>
        <w:br/>
        <w:t xml:space="preserve">(117) From the analysis of the market from the perspective of supply and demand, it follows that, although access requirements are homogeneous throughout the national territory, competition among the different promoters occurs in accessing each specific node.  </w:t>
        <w:br/>
        <w:t xml:space="preserve">(118) In addition to the available access capacity, the main difference between the different nodes of the transmission network is their geographical location, which is decisive when requesting access for a specific facility. Thus, considering each node of the electricity transmission network as a market in itself, its geographical scope will be that of the location of each node separately.  </w:t>
        <w:br/>
        <w:t xml:space="preserve">(119) The area of action of the IUN is limited to the specific node of the electricity transmission network for which it has been designated and only regarding the processing of access and connection requests at that specific node, with an interest in sharing a specific position of a node in the network.  </w:t>
        <w:br/>
        <w:t xml:space="preserve">(120) For all the above reasons, and as this Chamber recently analyzed in the Resolution of June 10, 2022, in file S/0022/20 ENEL GREEN POWER73, the geographical scope considered is delimited by the location of the facilities seeking access to a specific node of the electricity transmission network and by the area covered by the administrative authorizations, which generally refer to specific municipal terms.  </w:t>
        <w:br/>
        <w:t xml:space="preserve">(121) The conduct carried out by the IUN in the relevant market for access to the transmission network at a specific node is likely to limit the right of access of generating companies to the transmission network and, by  </w:t>
        <w:br/>
        <w:t xml:space="preserve">72 C-0372-11 ISOLUX/SOLAR GLOBAL, C-0098-08 GAS NATURAL/FENOSA, C-0930-18 CONTOURGLOBAL / ACCIONA TERMOSOLAR and CNMC Resolution of June 10, 2022 (File S/0022/20 ENEL GREEN POWER ESPAÑA).  </w:t>
        <w:br/>
        <w:t>73 Resolution of the CNMC Competition Chamber of June 10, 2022, in file S/0022/20 ENEL GREEN POWER.</w:t>
      </w:r>
    </w:p>
    <w:p>
      <w:r>
        <w:rPr>
          <w:b/>
        </w:rPr>
        <w:t>[Pages 28–30]</w:t>
      </w:r>
    </w:p>
    <w:p>
      <w:r>
        <w:t xml:space="preserve">S/0003/23  </w:t>
        <w:br/>
        <w:t xml:space="preserve">LUMINORA  </w:t>
        <w:br/>
        <w:t xml:space="preserve">therefore, affecting the related electricity generation market, which has a national dimension74.  </w:t>
        <w:br/>
        <w:t xml:space="preserve">(122) Conduct carried out by the IUN at a specific access node to the national electricity transmission network is - without prejudice to the delimitation of the relevant market in which it materially develops - capable of having supra-autonomous effects considering, among other issues, its impact on other electricity markets, the strategic nature of that market, and the relevance, for the proper functioning of the internal electricity market, of uniformly guaranteeing the right of access to the national transmission network that allows for a market of multiple agents in a single network system75.  </w:t>
        <w:br/>
        <w:t xml:space="preserve">(123) It can be concluded from all the above that the investigated conduct affects the access and connection market to the electricity transmission network through the FAUSITA 400 kV node in which LUMINORA has the status of IUN, with effects on the related electricity generation market.  </w:t>
        <w:br/>
        <w:t xml:space="preserve">4. ESTABLISHED FACTS  </w:t>
        <w:br/>
        <w:t xml:space="preserve">(124) Based on the information obtained from the file related to the access conflict CFT/DE/134/20 estimated by the SSR of the CNMC Council76, as well as the information provided by the parties in response to the requests made by the DC and the allegations made by LUMINORA to the PCH and the Proposal for Resolution, this Chamber considers the following facts chronologically established:  </w:t>
        <w:br/>
        <w:t xml:space="preserve">4.1. In the context of the access conflict CFT/DE/134/20  </w:t>
        <w:br/>
        <w:t xml:space="preserve">(125) On June 3, 2020, SHARK POWER requested individual access for twelve facilities it owns77 at the FAUSITA 400 kV node, before REE.  </w:t>
        <w:br/>
        <w:t xml:space="preserve">74 See, for example, the decisions of the European Commission in cases COMP/M.5979 – KGHM/TAURON Wytwarzanie/JV, paragraph 24; COMP/M.5711 – RWE/Ensys, paragraph 21, COMP/M.4180 – GDF/Suez, paragraph 726 or the reports of the Competition Defense Tribunal in case C-77/02 IBERENOVA/GAMESA, page 42 or C-68/08, NEW EGARA/EISS.  </w:t>
        <w:br/>
        <w:t xml:space="preserve">75 CNMC Resolution of June 10, 2022 (File S/0022/20 ENEL GREEN POWER ESPAÑA).  </w:t>
        <w:br/>
        <w:t xml:space="preserve">76 SSR Resolution of July 8, 2021 of the access conflict to the electricity transmission network CFT/DE/134/20 GRUPO SHARK POWER REN / REE (FAUSITA 400 kV NODE), raised by the companies SHARK POWER REN 4 S.L., SHARK POWER REN 5 S.L., SHARK POWER REN 6 S.L., SHARK POWER REN 7 S.L., SHARK POWER REN 8 S.L., SHARK POWER REN 9 S.L., and SHARK POWER REN 10 S.L. against LUMINORA SOLAR DOCE S.L. regarding access requests for the evacuation of the photovoltaic plants "Narval," "Beluga," "Yubarta," "Marsopa," "Marlin," "Barracuda," "Tintorera," "Orca," "Cachalote," "Piraña," "Esturión," and "Siluro," each of 50.01 MW at the FAUSITA 400 kV node -Murcia.  </w:t>
        <w:br/>
        <w:t xml:space="preserve">77 The photovoltaic plants "NARVAL," "BELUGA," "YUBARTA," "MARSOPA," "MARLIN," "BARRACUDA," "TINTORERA," "ORCA," "CACHALOTE," "PIRAÑA," "ESTURIÓN," and "SILURO," each of 50.01 MW.  </w:t>
        <w:br/>
        <w:t xml:space="preserve">Comisión Nacional de los Mercados y la Competencia 28 de 110  </w:t>
        <w:br/>
        <w:t xml:space="preserve">C/ Alcalá, 47 – 28014 Madrid - C/ Bolivia, 56 – 08018 Barcelona  </w:t>
        <w:br/>
        <w:t>www.cnmc.es</w:t>
      </w:r>
    </w:p>
    <w:p>
      <w:r>
        <w:t xml:space="preserve">S/0003/23  </w:t>
        <w:br/>
        <w:t xml:space="preserve">LUMINORA  </w:t>
        <w:br/>
        <w:t xml:space="preserve">On that date, there was no designated IUN78, as it was a new position understood to be planned since October 7, 2018, as a consequence of what is provided in Additional Provision 4 of Royal Decree-Law 15/2018.  </w:t>
        <w:br/>
        <w:t xml:space="preserve">(126) On June 24, 2020, LUMINORA also submitted to REE an individual access request for five photovoltaic facilities79 (one of which is owned by it and the other four belong to the business group to which it belongs)80, with connection at a new position of the FAUSITA 400 kV node81.  </w:t>
        <w:br/>
        <w:t xml:space="preserve">(127) On the same day, June 24, 2020, LUMINORA requested its designation as IUN at the FAUSITA 400 kV transmission network node, through a written submission to the General Directorate of Energy and Industrial and Mining Activity (DGEAIM) of the Government of the Region of Murcia, also providing the guarantee establishment for its facilities82.  </w:t>
        <w:br/>
        <w:t xml:space="preserve">(128) On June 25, 2020, REE received communication of the proper establishment of guarantees for eleven of the twelve SHARK POWER facilities. Although all guarantees were correctly established, due to an error by the General Directorate of Energy Policy and Mines (DGPEM) of the Ministry of Ecological Transition, the proper establishment of guarantees for one of the twelve facilities, related to the project for the photovoltaic plant "Marlin," was not recorded, causing a delay in its confirmation83.  </w:t>
        <w:br/>
        <w:t xml:space="preserve">78 Request of June 3, 2020 for access to the FAUSITA 400 kV node (MURCIA) for the photovoltaic plants Narval (50.01 MW), Beluga (50.01 MW), Yubarta (50.01 MW), Marsopa (50.01 MW), Marlin (50.01 MW), Barracuda (50.01 MW), Tintorera (50.01 MW), Orca (50.01 MW), Cachalote (50.01 MW), Piraña (50.01 MW), Esturión (50.01 MW), and Siluro (50.01 MW) submitted by SHARK POWER to REE. Information provided by REE in allegations to file CFT/DE/134/20, incorporated into the reference file by testimony deduction (page 816).  </w:t>
        <w:br/>
        <w:t xml:space="preserve">79 LUMINORA SOLAR DOCE, S.L., LUMINORA SOLAR TRECE, S.L., LUMINORA SOLAR CATORCE, S.L., LUMINORA SOLAR QUINCE, S.L., and LUMINORA SOLAR DIECISEIS, S.L. All of them companies of POWERTIS (now called SOLTEC DEVELOPMENT).  </w:t>
        <w:br/>
        <w:t xml:space="preserve">80 LUMINORA is directly the promoter of the FV installation Islas Menores I and indirectly of the installations of the other Powertis companies (FV Islas Menores II, FV Islas Menores III, FV Islas Menores IV, and FV Islas Menores V) of 50 MW each.  </w:t>
        <w:br/>
        <w:t xml:space="preserve">81 Initial application registration of LUMINORA of June 24, 2020. Information provided by LUMINORA in allegations to file CFT/DE/134/20, incorporated into the reference file by testimony deduction (pages 350 to 352).  </w:t>
        <w:br/>
        <w:t xml:space="preserve">82 Receipt of the submission of the guarantee and request to be designated IUN of June 24, 2020. Information provided by LUMINORA in allegations to file CFT/DE/134/20, incorporated into the reference file by testimony deduction (pages 354 and 355).  </w:t>
        <w:br/>
        <w:t xml:space="preserve">83 Communication of request not admitted, pending guarantee. Information provided by REE in allegations to file CFT/DE/134/20, incorporated into the reference file by testimony deduction. The DGPEM required the correction of the guarantee corresponding to the Marlín installation promoted by SHARK POWER REN 7, S.L. (pages 817, 819, and 820). The request for this correction turned out to be erroneous, as all installations had the same information, but it delayed the confirmation of this guarantee until July 24, 2020. As well as a new request from SHARK POWER REN 7 S.L. for individual access to the transmission network at the FAUSITA 400 kV node for the photovoltaic plant MARLIN and receipt from the General Directorate of the Office with the aforementioned confirmation of the proper establishment of the guarantee -CACG- for the MARLIN plant of the Applicant SHARK POWER REN 7, S.L., Information provided by REE in allegations to file CFT/DE/134/20, incorporated into the reference file by testimony deduction (pages 839 and 840 to 843).  </w:t>
        <w:br/>
        <w:t xml:space="preserve">Comisión Nacional de los Mercados y la Competencia 29 de 110  </w:t>
        <w:br/>
        <w:t xml:space="preserve">C/ Alcalá, 47 – 28014 Madrid - C/ Bolivia, 56 – 08018 Barcelona  </w:t>
        <w:br/>
        <w:t>www.cnmc.es</w:t>
      </w:r>
    </w:p>
    <w:p>
      <w:r>
        <w:t xml:space="preserve">S/0003/23  </w:t>
        <w:br/>
        <w:t xml:space="preserve">LUMINORA  </w:t>
        <w:br/>
        <w:t xml:space="preserve">(129) On June 29, 2020, the DGEAIM of the Government of the Region of Murcia sent REE the corresponding communication confirming the proper establishment of the guarantees deposited for LUMINORA's projects, before that administration dated June 24, 202084.  </w:t>
        <w:br/>
        <w:t xml:space="preserve">(130) On July 19, 2020, REE communicated to LUMINORA the need to process its individual request of June 24, 2020 in a "joint and coordinated" manner through the IUN to be designated for this purpose at the new position of the FAUSITA 400 kV node85.  </w:t>
        <w:br/>
        <w:t xml:space="preserve">(131) Since there was no designated IUN at that time, REE had to determine the facilities that would be part of a first coordinated access request, that is, define the reference perimeter.  </w:t>
        <w:br/>
        <w:t xml:space="preserve">(132) For this, on July 20, 2020, REE communicated to the DGEAIM of the Government of the Region of Murcia the status of the different access requests to the FAUSITA 400 kV node submitted individually, erroneously stating that the guarantees corresponding to eleven facilities promoted by SHARK POWER were "under analysis," when they had actually been confirmed on June 25, 2020, and indicating that the twelfth facility, "Marlin," was without established guarantee, this time due to an error by the regional administration87. Consequently, in practice, on July 20, 2020, there were two individual requests that could be considered contemporaneous (that of LUMINORA and that of SHARK POWER). Additionally, there was a third request from ALLEANS PROYECTO, S.L., which was not accepted as the corresponding guarantees had not been established, as stated in the following table88:  </w:t>
        <w:br/>
        <w:t xml:space="preserve">84 Emails of June 29, 2020 from the General Directorate of Energy and Industrial and Mining Activity of the Region of Murcia to REE. Information provided by REE in allegations to file CFT/DE/134/20, incorporated into the reference file by testimony deduction (pages 821 to 835).  </w:t>
        <w:br/>
        <w:t xml:space="preserve">85 Email from REE to POWERTIS (LUMINORA) dated July 19, 2020, with the subject "pending access request to be corrected. LUMINORA SOLAR DOCE SL_FAUSITA 400 kV." Information provided by LUMINORA in allegations to file CFT/DE/134/20, incorporated into the reference file by testimony deduction (pages 352 and 353).  </w:t>
        <w:br/>
        <w:t xml:space="preserve">86 "CORRECT ESTABLISHMENT OF GUARANTEE: No."  </w:t>
        <w:br/>
        <w:t xml:space="preserve">87 The twelfth facility whose guarantee was established on June 24, 2020.  </w:t>
        <w:br/>
        <w:t xml:space="preserve">88 Communication of designation of the IUN. Information provided by LUMINORA in response to the information request made by the Competition Directorate (page 26), as well as in allegations to file CFT/DE/134/20, incorporated into the reference file by testimony deduction (pages 496 to 498).  </w:t>
        <w:br/>
        <w:t xml:space="preserve">Comisión Nacional de los Mercados y la Competencia 30 de 110  </w:t>
        <w:br/>
        <w:t xml:space="preserve">C/ Alcalá, 47 – 28014 Madrid - C/ Bolivia, 56 – 08018 Barcelona  </w:t>
        <w:br/>
        <w:t>www.cnmc.es</w:t>
      </w:r>
    </w:p>
    <w:p>
      <w:r>
        <w:rPr>
          <w:b/>
        </w:rPr>
        <w:t>[Pages 31–33]</w:t>
      </w:r>
    </w:p>
    <w:p>
      <w:r>
        <w:t xml:space="preserve">S/0003/23  </w:t>
        <w:br/>
        <w:t xml:space="preserve">LUMINORA  </w:t>
        <w:br/>
        <w:t xml:space="preserve">(133) On July 23, 2020, the DGPEM of the Ministry for Ecological Transition and the Demographic Challenge communicated to REE the adequate establishment of guarantees by the Marlín installation of SHARK POWER89.  </w:t>
        <w:br/>
        <w:t xml:space="preserve">(134) On July 27, 2020, LUMINORA was designated as IUN at the FAUSITA 400 kV node by the DGEAIM of the Government of the Region of Murcia. Furthermore, in that resolution, the regional administration mentioned the "reference perimeter" established on June 20, 2020, by REE for the FAUSITA 400 kV node, but without including the adequate establishment of guarantees by the "Marlín" installation of SHARK POWER communicated by the Ministry to REE on July 23, 202090.  </w:t>
        <w:br/>
        <w:t xml:space="preserve">89 Communication of July 23, 2020, from the DGPEM regarding the confirmation of the adequate establishment of the guarantee -CACG- for the MARLIN plant of the Applicant SHARK POWER REN 7, S.L. Information provided by REE in allegations to the CFT/DE/134/20 file, incorporated into the reference file by means of testimony deduction (folios 841 to 843).  </w:t>
        <w:br/>
        <w:t xml:space="preserve">90 Resolution of the General Directorate of Energy and Industrial and Mining Activity, of July 27, 2020, designating the Unique Interlocutor of Node (IUN) of the FAUSITA 400 kV transport substation located in Cartagena, Murcia, to Luminora Solar Doce, S.L. Information provided by LUMINORA in allegations to the CFT/DE/134/20 file, incorporated into the reference file by means of testimony deduction (folios 356 to 358, 496 to 498, and 844 to 846).  </w:t>
        <w:br/>
        <w:t xml:space="preserve">Comisión Nacional de los Mercados y la Competencia 31 de 110  </w:t>
        <w:br/>
        <w:t xml:space="preserve">C/ Alcalá, 47 – 28014 Madrid - C/ Bolivia, 56 – 08018 Barcelona  </w:t>
        <w:br/>
        <w:t>www.cnmc.es</w:t>
      </w:r>
    </w:p>
    <w:p>
      <w:r>
        <w:t xml:space="preserve">S/0003/23  </w:t>
        <w:br/>
        <w:t xml:space="preserve">LUMINORA  </w:t>
        <w:br/>
        <w:t xml:space="preserve">(135) On July 28, 2020, REE sent an email to LUMINORA confirming that it would proceed to publish on its website its appointment as IUN at the FAUSITA 400 kV node91.  </w:t>
        <w:br/>
        <w:t xml:space="preserve">(136) On the same day, July 28, 2020, LUMINORA submitted, as IUN, the first coordinated access request (SCA1) to the FAUSITA 400 kV node that only included the installations for which LUMINORA itself was a direct or indirect promoter92. Specifically, this SCA1 included LUMINORA's own installation (FV Islas Menores I) and the installations of the LUMINORA business group, belonging to the companies of Powertis93 (FV Islas Menores II, FV Islas Menores III, FV Islas Menores IV, and FV Islas Menores V).  </w:t>
        <w:br/>
        <w:t xml:space="preserve">(137) Likewise, on July 28, 2020, REE communicated to LUMINORA: (i) the receipt of the SCA1; (ii) the acknowledgment of the designation of the Company as IUN; and (iii) the admission for processing of said SCA1 (“we proceed to process your access request with this consideration of IUN”)94.  </w:t>
        <w:br/>
        <w:t xml:space="preserve">(138) On July 30, 2020, REE published on its website the appointment of LUMINORA as IUN of the FAUSITA 400 kV node95.  </w:t>
        <w:br/>
        <w:t xml:space="preserve">(139) On the same day, July 30, 2020, SHARK POWER sent the same communication to the IUN and to REE, informing them of the existence of its access requests, prior to the appointment of the IUN, to ensure that the first coordinated access request was not processed without including SHARK POWER's requests96. In this regard, LUMINORA claimed, however, to have received said communication by fax on August 25, 202097 as indicated in the email sending locator,  </w:t>
        <w:br/>
        <w:t xml:space="preserve">91 Email of July 28, 2020, from REE to LUMINORA, Subject: IUN FAUSITA 400 kV (planned position RDL 15/2018). Information provided by LUMINORA in allegations to the CFT/DE/134/20 file, incorporated into the reference file by means of testimony deduction (folios 359 and 499).  </w:t>
        <w:br/>
        <w:t xml:space="preserve">92 Registration of the SCA1. Information provided by LUMINORA in allegations to the CFT/DE/134/20 file, incorporated into the reference file by means of testimony deduction (folios 362, 363, 502, and 503).  </w:t>
        <w:br/>
        <w:t xml:space="preserve">93 LUMINORA SOLAR TRECE, S.L., LUMINORA SOLAR CATORCE, S.L., LUMINORA SOLAR QUINCE, S.L. and LUMINORA SOLAR DIECISEIS, S.L.  </w:t>
        <w:br/>
        <w:t xml:space="preserve">94 Email of July 28, 2020, from REE to POWERTIS (LUMINORA). Information provided by LUMINORA in allegations to the CFT/DE/134/20 file, incorporated into the reference file by means of testimony deduction (folios 500 and 501).  </w:t>
        <w:br/>
        <w:t xml:space="preserve">95 Internal email from POWERTIS (LUMINORA) of July 30, 2020. Information provided by LUMINORA in response to a request for information made by the Competition Directorate (folio 55).  </w:t>
        <w:br/>
        <w:t xml:space="preserve">96 Initial request of the access conflict raised by SHARK POWER. Information provided by SHARK POWER in the initial request of the access conflict, CFT/DE/134/20, incorporated into the reference file by means of testimony deduction: Letter, without outgoing stamp sent by SHARK POWER (folio 725).  </w:t>
        <w:br/>
        <w:t xml:space="preserve">97 According to information provided by LUMINORA in allegations to the CFT/DE/134/20 file, incorporated into the reference file by means of testimony deduction (folio 300), as well as in LUMINORA's response to the request for information made by the Competition Directorate (folios 44 to 47).  </w:t>
        <w:br/>
        <w:t xml:space="preserve">Comisión Nacional de los Mercados y la Competencia 32 de 110  </w:t>
        <w:br/>
        <w:t xml:space="preserve">C/ Alcalá, 47 – 28014 Madrid - C/ Bolivia, 56 – 08018 Barcelona  </w:t>
        <w:br/>
        <w:t>www.cnmc.es</w:t>
      </w:r>
    </w:p>
    <w:p>
      <w:r>
        <w:t xml:space="preserve">S/0003/23  </w:t>
        <w:br/>
        <w:t xml:space="preserve">LUMINORA  </w:t>
        <w:br/>
        <w:t xml:space="preserve">after several unsuccessful notification attempts due to the absence of the recipient (on July 31, August 3 and 4, 2020). This despite the fact that, as reflected in that document, SHARK POWER directed its communication via burofax to the same postal contact address indicated by LUMINORA to REE and published on the latter's website, for the purposes of its designation as IUN98.  </w:t>
        <w:br/>
        <w:t xml:space="preserve">(140) Notwithstanding that circumstance, on the same day, July 30, 2020, SHARK POWER contacted LUMINORA by phone. In that phone conversation, LUMINORA informed SHARK POWER of the existence of an access request (SCA1) submitted, which LUMINORA itself, as IUN of the node, had sent to REE on July 28, 2020 (before SHARK POWER was aware of the designation of the IUN)99.  </w:t>
        <w:br/>
        <w:t xml:space="preserve">(141) LUMINORA claims that, regardless of whether the burofax sent by SHARK POWER was received on August 25, 2020, SHARK POWER did not address the contact person of the IUN published on REE's website. Likewise, when SHARK POWER contacted REE and LUMINORA by phone, it would not have contacted the person listed as a contact on REE's website, despite being indicated by LUMINORA over the phone.  </w:t>
        <w:br/>
        <w:t xml:space="preserve">(142) According to LUMINORA, in any case, on August 25, 2020, when it received the burofax, SHARK POWER did not provide the mandatory information and documentation for its inclusion in an SCA and it would not have been until October 15, 2020, when SHARK POWER contacted LUMINORA to communicate the need to suspend the access procedure to the node due to the filing of an access conflict100.  </w:t>
        <w:br/>
        <w:t xml:space="preserve">(143) Regarding LUMINORA's allegation concerning the content, dates, and recipients of the burofax sent by SHARK POWER on August 25, 2020,  </w:t>
        <w:br/>
        <w:t xml:space="preserve">98 Email of July 28, 2020, from REE to LUMINORA, Subject: IUN FAUSITA 400 kV (planned position RDL 15/2018), information provided by LUMINORA in allegations to the CFT/DE/134/20 file, incorporated into the reference file by means of testimony deduction (folios 359 and 499) and LUMINORA's response to the request for information made by the Competition Directorate (folios 44 to 47), which refers to the following coinciding contact address of LUMINORA: Calle Principipe de Vergara º 43, 6th floor.  </w:t>
        <w:br/>
        <w:t xml:space="preserve">99 Information contained in the Council Resolution - Point 2.15. SSR 08/07/2021. Resolution of July 8, 2020, of the SSR in the access conflict to the electricity transport network raised by the companies SHARK POWER REN 4 S.L., SHARK POWER REN 5 S.L., SHARK POWER REN 6 S.L., SHARK POWER 7 REN S.L., SHARK POWER REN 8 S.L., SHARK POWER REN 9 S.L., and SHARK POWER REN 10 S.L. against LUMINORA SOLAR DOCE S.L. regarding the access requests for the evacuation of the photovoltaic plants “Narval”, “Beluga”, “Yubarta”, “Marsopa”, “Marlin”, “Barracuda”, “Tintorera”, “Orca”, “Cachalote”, “Piraña”, “Esturión”, and “Siluro” of 5001 MW each at the FAUSITA 400 kV substation -Murcia, incorporated into the reference file by means of testimony deduction (folio 771).  </w:t>
        <w:br/>
        <w:t xml:space="preserve">100 Email sent by LUMINORA to SHARK POWER on October 15, 2020, Subject: Fwd: Subsequent considerations after the identification of the IUN _FAUSITA 400 kV_reference perimeter 27jul20_28sep20, provided by LUMINORA in response to a request for information made by the Competition Directorate (folio 48).  </w:t>
        <w:br/>
        <w:t xml:space="preserve">Comisión Nacional de los Mercados y la Competencia 33 de 110  </w:t>
        <w:br/>
        <w:t xml:space="preserve">C/ Alcalá, 47 – 28014 Madrid - C/ Bolivia, 56 – 08018 Barcelona  </w:t>
        <w:br/>
        <w:t>www.cnmc.es</w:t>
      </w:r>
    </w:p>
    <w:p>
      <w:r>
        <w:rPr>
          <w:b/>
        </w:rPr>
        <w:t>[Pages 34–36]</w:t>
      </w:r>
    </w:p>
    <w:p>
      <w:r>
        <w:t xml:space="preserve">S/0003/23  </w:t>
        <w:br/>
        <w:t xml:space="preserve">LUMINORA  </w:t>
        <w:br/>
        <w:t xml:space="preserve">it is appropriate to refer to the facts established in the SSR Resolution of July 8, 2021, which resolved CFT/DE/134/20, in which such allegations were already presented by LUMINORA without being considered relevant by said Resolution for the purpose of resolving the conflict.  </w:t>
        <w:br/>
        <w:t xml:space="preserve">(144) According to the Access Procedure Criteria of REE101, which LUMINORA also refers to in its written allegations to the Proposal for Resolution, although the provision of a joint connection solution with complete information is an essential requirement for processing access requests, it is possible to remedy this, and in any case, the lack of provision of the information within one month for the IUN to proceed with its integration into the request would lead to the exclusion of the coordinated request of the plant(s) with pending individual technical information. That is to say, that despite what LUMINORA maintains in its allegations102, according to the Access Procedure Criteria of REE, LUMINORA should have carried out one of the three SCAs including the requests of SHARK POWER, as they are included in the reference perimeter indicated by REE, being said system operator responsible for requiring SHARK POWER to remedy the situation, and if applicable, exclude it from its final decision.  </w:t>
        <w:br/>
        <w:t xml:space="preserve">(145) On August 17, 2020, REE received the individual access requests from DESARROLLOS RENOVABLES EÓLICOS Y SOLARES, S.L.U. (DRES) and ALLEANS PROYECTO 2, S.L. (ALLEANS)103.  </w:t>
        <w:br/>
        <w:t xml:space="preserve">(146) On August 29, 2020, LUMINORA submitted a second coordinated access request (SCA2) to REE that included – in addition to the facilities of SCA1, those promoted by LUMINORA itself – the facilities promoted by DESARROLLOS RENOVABLES EÓLICOS Y SOLARES, S.L.U. and ALLEANS PROYECTO 2, S.L,104 but without including those of SHARK POWER, claiming not to have received the relevant documentation to include them in the SCA105.  </w:t>
        <w:br/>
        <w:t xml:space="preserve">(147) On August 31, 2020, SHARK POWER106 raised an access conflict to the electricity transport network of REE against LUMINORA for refusing, in its capacity as IUN of the FAUSITA 400 kV node, to include in a coordinated access request the facilities promoted by the claimant, thereby preventing REE from considering it in a potential allocation of the available capacity at the node, as it had not even received the access request from SHARK POWER107.  </w:t>
        <w:br/>
        <w:t xml:space="preserve">(148) For LUMINORA, the presentation of this conflict would have no basis, because: (i) it would never have refused to include in an SCA the facilities promoted by SHARK POWER, but would have acted in this regard under the existing regulations; (ii) it would not have prevented REE from considering SHARK POWER in a potential allocation of the available capacity at the node, but rather it had not received the access request from SHARK POWER. In any case, REE did take into account the initial individual request from SHARK POWER when, after evaluating SCA1, and before knowing that SHARK POWER had raised an access conflict before the CNMC, REE informed LUMINORA, SHARK POWER, and ALLEANS that SCA1 was not correct and that their individual requests submitted prior to the appointment of the IUN fell within the reference perimeter and should be included within the same coordinated request.  </w:t>
        <w:br/>
        <w:t xml:space="preserve">(149) The facts established in the SSR Resolution of July 8, 2021, in the context of the access conflict are not questioned, nor is the conduct of REE subject to analysis. Precisely, from the account of the established facts, as reflected in the conflict resolution of July 8, 2021, and despite what it now maintains in its allegations108, LUMINORA expressly refused on September 25, 2020 (as noted in paragraph (153) below), despite REE's indications, to include the requests of SHARK POWER in the following SCAs: "Thus, after an initial requirement for remedy, on September 18, 2020, REE sent a communication to the IUN urging the realization of a joint and coordinated access request that included the plants of SHARK POWER, to which LUMINORA (sic) refused, forcing REE not to resolve the coordinated access request raised by the IUN”109 (emphasis added).  </w:t>
        <w:br/>
        <w:t xml:space="preserve">(150) By email dated September 9, 2020, REE communicated to LUMINORA the rejection of SCA2 submitted "for including facilities that simultaneously request access to another node of the transport network”110. In said email, and to admit the rest of the facilities for processing, REE requested LUMINORA, as IUN, to submit a new request that excluded the aforementioned facilities111.  </w:t>
        <w:br/>
        <w:t xml:space="preserve">(151) On the same day, September 9, 2020, LUMINORA proceeded to register a remedy of SCA2, removing the facilities referred to by REE112, but maintaining those promoted by ALLEANS PROYECTO 2 S.L. (specifically LO POLLO1 and LO POLLO 4)113.  </w:t>
        <w:br/>
        <w:t xml:space="preserve">(152) On September 18, 2020, correcting the error made regarding the guarantees of SHARK POWER, REE urged, by email, LUMINORA to submit an SCA that included its facilities along with the individual requests received prior to its appointment as IUN (reference perimeter of July 27).  </w:t>
        <w:br/>
        <w:t xml:space="preserve">109Resolution of the Council - Point 2.15. SSR 08/07/2021. Resolution of the access conflict to the electricity transport network raised by the companies SHARK POWER REN 4 S.L., SHARK POWER REN 5 S.L., SHARK POWER REN 6 S.L., SHARK POWER 7 REN S.L., SHARK POWER REN 8 S.L., SHARK POWER REN 9 S.L., and SHARK POWER REN 10 S.L. against LUMINORA SOLAR DOCE S.L. regarding the access requests for the evacuation of the photovoltaic plants "Narval", "Beluga", "Yubarta", "Marsopa", "Marlin", "Barracuda", "Tintorera", "Orca", "Cachalote", "Piraña", "Esturión", and "Siluro", each of 5001 MW at the FAUSITA 400 kV substation -Murcia-. Incorporated into the reference file by means of testimony deduction (folio 552).  </w:t>
        <w:br/>
        <w:t xml:space="preserve">110 Specifically, REE confirmed that the plants of DESARROLLOS RENOVABLES EÓLICOS Y SOLARES, S.L.U. included in SCA2 (FV LOS GARRIDOS, FV LOS NIETOS, FV MAR DE CRISTAL, FV MINGOTE, and FV SAN GINÉS) were at that time integrated into a prior access request in progress at FAUSITA 220 kV, in addition to the FAUSITA 400 kV node subject to this conflict. Email of September 9, 2020, sent by REE to LUMINORA Subject: MiAccesoREE: Registration of new Access Request at FAUSITA – 400 kV. Registration of remedy of SCA2 (folios 372 and 373, 513 to 515).  </w:t>
        <w:br/>
        <w:t xml:space="preserve">111 Email of September 9, 2020, from REE to LUMINORA, Subject: MiAccesoREE: Rejection of Request Information provided by REE in allegations to the CFT/DE/134/20 file, incorporated into the reference file by means of testimony deduction (folio 863).  </w:t>
        <w:br/>
        <w:t xml:space="preserve">112 More specifically, the facilities of DESARROLLOS RENOVABLES EÓLICOS Y SOLARES, S.L.U. FV LOS GARRIDOS, FV LOS NIETOS, FV MAR DE CRISTAL, FV MINGOTE, and FV SAN GINÉS.  </w:t>
        <w:br/>
        <w:t>113 Email of September 9, 2020, from REE to LUMINORA, Subject: MiAccesoREE: Rejection of Request Information provided by LUMINORA in allegations to the CFT/DE/134/20 file, incorporated into the reference file by means of testimony deduction (folios 516-517), as well as information provided by REE in allegations to the CFT/DE/134/20 file, New coordinated access request from LUMINORA SOLAR DOCE, S.L. dated September 9, 2020 incorporated into the reference file by means of testimony deduction (folios 864 to 879).</w:t>
      </w:r>
    </w:p>
    <w:p>
      <w:r>
        <w:rPr>
          <w:b/>
        </w:rPr>
        <w:t>[Pages 37–39]</w:t>
      </w:r>
    </w:p>
    <w:p>
      <w:r>
        <w:t xml:space="preserve">S/0003/23  </w:t>
        <w:br/>
        <w:t xml:space="preserve">LUMINORA  </w:t>
        <w:br/>
        <w:t xml:space="preserve">of 2020), among which it identified the 12 installations of SHARK POWER114:  </w:t>
        <w:br/>
        <w:t xml:space="preserve">"Once the Unique Interlocutor of the Node has been identified by the autonomous administration for a new renewable evacuation position at the FAUSITA 400 kV transmission network substation, we inform you that according to the indications published on the website regarding the 'Action Criteria to facilitate coordination in the access procedure to the transmission network (...) it is necessary to make a new coordinated request including the individual requests received prior to your appointment as IUN for connection at said node. All this, as the dates of the guarantees and requests overlap, resulting in concurrent (groupable) requests in time.  </w:t>
        <w:br/>
        <w:t xml:space="preserve">For this purpose, we indicate below in the 'IGREs' column, the list of plants for which they are considered among the first concurrent promoters (reference perimeter as of July 27, 2020, as the date of appointment of IUN):  </w:t>
        <w:br/>
        <w:t xml:space="preserve">115  </w:t>
        <w:br/>
        <w:t xml:space="preserve">Taking into account the indicated criteria, we request that you review the groupings of installations to be included as a joint and coordinated request, and in coordination with the holders of the installations in the previous Table, submit the corresponding coordinated request as soon as possible and in any case within one month from this date.  </w:t>
        <w:br/>
        <w:t xml:space="preserve">Regarding the aforementioned coordinated access request, it must include the specific plants belonging to the 'reference perimeter' (of the installations in Table 1), incorporating the agreement between the parties."  </w:t>
        <w:br/>
        <w:t xml:space="preserve">(153) On September 25, 2020, LUMINORA communicated to REE that it considered its requirement inappropriate and that it was not appropriate to process a new SCA, given that the first access request to the network submitted, accepted and still in processing, included the access requests that met the requirements to be included within the reference perimeter of the first SCA to the network in accordance with the criteria approved by REE116:  </w:t>
        <w:br/>
        <w:t xml:space="preserve">"Without prejudice to the above, it should also be emphasized that the list of plants included within the indicated reference perimeter in REE's communication of September 18 is incorrect, because:  </w:t>
        <w:br/>
        <w:t xml:space="preserve">- ALLEANS PROYECTO 2, S.L. has already withdrawn from two of its four projects (FV LO POLLO 2 and FV LO POLLO 3), so they should not appear in said perimeter.  </w:t>
        <w:br/>
        <w:t xml:space="preserve">- REE communicated to the Administration at the time of designating the IUN that the guarantees related to the plants promoted by ALLEANS PROYECTO 2, S.L. had not been accepted by the Administration, so that, as of July 27, 2020, they could not be included within the reference perimeter of the first coordinated access request. And the date of September 18, 2020 cannot be taken as a reference.  </w:t>
        <w:br/>
        <w:t xml:space="preserve">- REE communicated to the Administration at the time of designating the IUN that the guarantees related to the plants promoted by SHARK POWER REN 4 – 10, S.L. were either still pending analysis or had been denied, so that, as of July 27, 2020, they could not be included within the reference perimeter of the first coordinated access request. However, in REE's communication of September 18, 2020, it is stated that all guarantees related to the plants promoted by SHARK POWER REN 4 – 10, S.L. have been accepted, which is incorrect considering the date that must be attributed to the reference perimeter of the first coordinated access request."  </w:t>
        <w:br/>
        <w:t xml:space="preserve">116 Information provided by LUMINORA in allegations to file CFT/DE/134/20, incorporated into the reference file by means of testimony deduction. Written communication from LUMINORA to REE "Subject: Subsequent considerations after the identification of the IUN_FAUSITA 400 kV_reference perimeter 27jul20_18sep20" (folios 381 to 389), which is also included in information provided by REE in allegations to file CFT/DE/134/20, incorporated into the reference file by means of testimony deduction (folios 880, 881 to 925).  </w:t>
        <w:br/>
        <w:t xml:space="preserve">Comisión Nacional de los Mercados y la Competencia 38 de 110  </w:t>
        <w:br/>
        <w:t xml:space="preserve">C/ Alcalá, 47 – 28014 Madrid - C/ Bolivia, 56 – 08018 Barcelona  </w:t>
        <w:br/>
        <w:t>www.cnmc.es</w:t>
      </w:r>
    </w:p>
    <w:p>
      <w:r>
        <w:t xml:space="preserve">S/0003/23  </w:t>
        <w:br/>
        <w:t xml:space="preserve">LUMINORA  </w:t>
        <w:br/>
        <w:t xml:space="preserve">(154) After receiving REE's communication of September 18, 2020, LUMINORA alleges that it informed REE on two occasions117 that it could not include the installations of SHARK POWER because it had not submitted the complete required application, which is why it did not include the installations of SHARK POWER either in SCA2 or in SCA3. This communication from LUMINORA to REE would demonstrate, according to the accused company, the good faith of its actions, as it did include all requests from promoters who sent it the necessary information and documentation to complete the coordinated access requests (those of ALLEANS and DRES), in accordance with the applicable regulations.  </w:t>
        <w:br/>
        <w:t xml:space="preserve">(155) According to LUMINORA, the information required to be part of the SCAs was only sent by SHARK POWER on July 22, 2021, at the request of LUMINORA (on July 20, 2021)118, in order to comply with what was indicated in the SSR Resolution of the conflict of July 8, 2021. LUMINORA considers that it maintained the same course of action with all operators who requested access to the FAUSITA 400 kV node.  </w:t>
        <w:br/>
        <w:t xml:space="preserve">(156) As previously indicated, it was the SSR of the CNMC in the resolution of the conflict of July 8, 2021119 that obliged LUMINORA to comply with REE's instructions and to submit a new and unique SCA that included not only the installations of LUMINORA but also the 12 installations belonging to SHARK POWER and as stated in the resolution of the access conflict itself, without referring to whether or not the complete documentation should have been sent to the IUN. In this regard, the resolution in question concludes that LUMINORA had not acted correctly in its actions as IUN, nor with the same course of action: in the first SCA it did not wait for the other promoting companies to be aware of its designation as IUN and could direct their access request to it, in order to appear as the first and only applicant ("Undoubtedly, LUMINORA not only exceeds the functions of the IUN but also uses its position to  </w:t>
        <w:br/>
        <w:t xml:space="preserve">117 Written allegations sent by LUMINORA to REE on September 25, 2020 (folio 892) and communication sent by LUMINORA to REE on October 9, 2020 (folio 938), information incorporated into the file by means of testimony deduction.  </w:t>
        <w:br/>
        <w:t xml:space="preserve">118 Email sent by SHARK POWER to LUMINORA, dated July 27, 2021, Subject: RE: Info. coordinated request FAUSITA 400. Information provided by LUMINORA in allegations to the PCH (folios 1446 and 1447).  </w:t>
        <w:br/>
        <w:t xml:space="preserve">119 "Such non-discriminatory access is only ensured through a new and unique joint access request that includes the installations of LUMINORA and those of SHARK POWER, including in this case the installation called 'Marlin', as the request for it was made correctly and completely on June 3, 2020." Resolution of the Council - Point 2.15. SSR 08/07/2021. Resolution of the access conflict to the electricity transmission network raised by the companies SHARK POWER REN 4 S.L., SHARK POWER REN 5 S.L., SHARK POWER REN 6 S.L., SHARK POWER REN 7 S.L., SHARK POWER REN 8 S.L., SHARK POWER REN 9 S.L., and SHARK POWER REN 10 S.L. against LUMINORA SOLAR DOCE S.L. regarding the access requests for the evacuation of the photovoltaic plants "Narval," "Beluga," "Yubarta," "Marsopa," "Marlin," "Barracuda," "Tintorera," "Orca," "Cachalote," "Piraña," "Esturión," and "Siluro," each of 5001 MW at the FAUSITA 400 kV substation - Murcia-. Incorporated into the reference file by means of testimony deduction (folios 541 to 557).  </w:t>
        <w:br/>
        <w:t xml:space="preserve">Comisión Nacional de los Mercados y la Competencia 39 de 110  </w:t>
        <w:br/>
        <w:t xml:space="preserve">C/ Alcalá, 47 – 28014 Madrid - C/ Bolivia, 56 – 08018 Barcelona  </w:t>
        <w:br/>
        <w:t>www.cnmc.es</w:t>
      </w:r>
    </w:p>
    <w:p>
      <w:r>
        <w:rPr>
          <w:b/>
        </w:rPr>
        <w:t>[Pages 40–42]</w:t>
      </w:r>
    </w:p>
    <w:p>
      <w:r>
        <w:t xml:space="preserve">S/0003/23  </w:t>
        <w:br/>
        <w:t xml:space="preserve">LUMINORA  </w:t>
        <w:br/>
        <w:t xml:space="preserve">to advance its requests over those of SHARK POWER”)120; and in the following SCA, it refused to follow REE's instructions to include SHARK POWER's requests, on two occasions121.  </w:t>
        <w:br/>
        <w:t xml:space="preserve">(157) REE never responded to this communication, understanding that the existing processing situation at the FAUSITA 400 kV node122 should be resolved by the CNMC beforehand.  </w:t>
        <w:br/>
        <w:t xml:space="preserve">(158) On September 25, 2020, SHARK POWER informed REE, via an email, that the access conflict before the CNMC had been admitted for processing and formally requested to "suspend the access procedure to the FAUSITA 400 kV node," in accordance with the guidelines of "Criteria for action to facilitate coordination in the access procedure to the transport network" prepared by REE123.  </w:t>
        <w:br/>
        <w:t xml:space="preserve">(159) On September 29, 2020, REE received a letter from the DGPEM regarding the establishment of guarantees for the two generation facilities of ALLEANS PROYECTO 2, S.L.124, informing of the submission of the receipt of the guarantee deposit made on September 22, 2020. Since this receipt was obtained after the entry into force of Royal Decree-Law 23/2020, (RD-L 23/2020)125, new access permit requests could no longer be included in the exception of non-admission126.  </w:t>
        <w:br/>
        <w:t xml:space="preserve">(160) On October 6, 2020, and in light of REE's lack of response to its email of September 25, SHARK POWER sent a new email to REE, attaching the supporting documentation for the admission of the conflict127. Subsequently, on October 15, 2020, SHARK POWER sent REE another email urging it to confirm the suspension of the procedure. REE never responded to these communications128.  </w:t>
        <w:br/>
        <w:t xml:space="preserve">(161) LUMINORA questions whether the processing of requests was suspended on September 25, 2020, given that, in this email, SHARK POWER informed REE of the raising of the aforementioned access conflict before the CNMC, not of its admission for processing which took place on October 5, 2020, as SHARK POWER informed REE by email on October 6, 2020. Therefore, for LUMINORA, it could only have been suspended, at the earliest, on October 6, 2020, in accordance with the provisions of the Third Action Criterion of REE's document "Criteria for action to facilitate coordination in the access procedure to the transport network"129, so that when the conflict was admitted for processing, in LUMINORA's opinion, REE was dealing with the requests received and had all the necessary information to reach the same conclusion as the SSR in the resolution of the conflict.  </w:t>
        <w:br/>
        <w:t xml:space="preserve">(162) The CNMC has already ruled on this issue in the aforementioned resolution:130 "It is not necessary, as REE claims, for there to have been an express denial of access on its part for an access conflict to arise. It is sufficient, as is the case, that there is a discrepancy over access and that the ordinary processing of permits is not being carried out due to the discrepancies, as is the case, in relation to the different access requests. Therefore, the conflict raised by SHARK POWER is admissible, as the ordinary processing is suspended and neither REE will resolve LUMINORA's requests nor will LUMINORA include, if applicable, SHARK POWER's access requests. This situation of discrepancy can undoubtedly be resolved through the access conflict route."  </w:t>
        <w:br/>
        <w:t xml:space="preserve">(163) On October 9, 2020, after the coordinated access request with the facilities promoted by ALLEANS PROYECTO 2, S.L.131 was rejected on October 6, 2020, LUMINORA informed REE that it had no record of receiving the communication providing the necessary information to include SHARK POWER's facilities in the coordinated request, reiterating its interest in continuing with the procedure for granting access to the FAUSITA 400 kV node and making a new coordinated access request132: "Having been rejected on 06/10/2020 the coordinated access request with another promoter, and as of the date of drafting this document 09/10/2020 we indicate that as IUN OF THE FAUSITA 400 kV NODE we have not received any communication providing the necessary information to make a coordinated request from any other promoter. Therefore, we reiterate our interest in continuing the procedure for granting ACCESS to the FAUSITA 400 kV substation and we make a new ACCESS request."  </w:t>
        <w:br/>
        <w:t xml:space="preserve">(164) On October 14, 2020, LUMINORA, disregarding REE's instructions of September 18, 2020, proceeded to register a third request  </w:t>
        <w:br/>
        <w:t xml:space="preserve">130 Resolution of the Council - Point 2.15. SSR 08/07/2021. Resolution of July 8, 2020, of the SSR regarding the access conflict to the electricity transport network raised by the companies SHARK POWER REN 4 S.L. SHARK POWER REN 5 S.L. SHARK POWER REN 6 S.L. SHARK POWER 7 REN S.L. SHARK POWER REN 8 S.L. SHARK POWER REN 9 S.L. and SHARK POWER REN 10 S.L. against LUMINORA SOLAR DOCE S.L. regarding the access requests for the evacuation of the photovoltaic plants "Narval" "Beluga" "Yubarta" "Marsopa" "Marlin" "Barracuda" "Tintorera" "Orca" "Cachalote" "Piraña" "Esturión" and "Siluro" of 5001 MW each at the FAUSITA 400 kV substation - Murcia-. Incorporated into the reference file by means of testimony deduction (folio 549).  </w:t>
        <w:br/>
        <w:t xml:space="preserve">131 For not having accredited the submission of guarantees prior to the entry into force of RDL 23/2020.  </w:t>
        <w:br/>
        <w:t xml:space="preserve">132 Written communication of October 9, 2020, from LUMINORA to REE SUBJECT: REQUEST TO CONTINUE WITH ACCESS PERMITS, submitted by LUMINORA in allegations to the CFT/DE/134/20 file, incorporated into the reference file by means of testimony deduction (folio 938).  </w:t>
        <w:br/>
        <w:t xml:space="preserve">Comisión Nacional de los Mercados y la Competencia 42 de 110  </w:t>
        <w:br/>
        <w:t xml:space="preserve">C/ Alcalá, 47 – 28014 Madrid - C/ Bolivia, 56 – 08018 Barcelona  </w:t>
        <w:br/>
        <w:t>www.cnmc.es</w:t>
      </w:r>
    </w:p>
    <w:p>
      <w:r>
        <w:rPr>
          <w:b/>
        </w:rPr>
        <w:t>[Pages 43–45]</w:t>
      </w:r>
    </w:p>
    <w:p>
      <w:r>
        <w:t xml:space="preserve">S/0003/23  </w:t>
        <w:br/>
        <w:t xml:space="preserve">LUMINORA  </w:t>
        <w:br/>
        <w:t xml:space="preserve">coordinated access (SCA3), including only the projects of LUMINORA133.  </w:t>
        <w:br/>
        <w:t xml:space="preserve">(165) According to LUMINORA, its action was due to the fact that REE also did not respond to its second letter of October 9, 2020, and that SHARK POWER continued to send it no request or documentation, and furthermore, LUMINORA had previously communicated, in that email of October 9 to REE, the reason for this exclusion, so REE was therefore in a position to assess the SCA3 as it had all the relevant information.  </w:t>
        <w:br/>
        <w:t xml:space="preserve">(166) In fact, that REE had all the relevant information necessary is what explains, according to LUMINORA, the communication of September 18, 2020, from REE to LUMINORA (IUN), to SHARK POWER and ALLEANS as interested access applicants included in the reference perimeter: “REE would not have known or been able to fulfill ‘its function as a guarantor of equality and non-discrimination in access,’ and also ‘adequately’ as indicated by the SSR in the Resolution of the Conflict134, if it had not had the relevant information necessary to rectify the coordinated access request submitted by the IUN”135. The same is asserted by LUMINORA regarding the SCA2 in which it included the access requests it received in its capacity as IUN from ALLEANS and DRES but not those from SHARK POWER and the SCA3, which as previously noted, according to LUMINORA, before submitting it, informed REE on two occasions that no operator had sent it the necessary documentation to include its request in a SCA.  </w:t>
        <w:br/>
        <w:t xml:space="preserve">(167) This Chamber considers that such allegations do not justify the actions of LUMINORA, which is what is being analyzed in this sanctioning file, whose object does not concern the possible access to the transport network of SHARK POWER, a matter resolved by the SSR resolution of July 8, 2021, but rather analyzes whether LUMINORA exceeded its powers as IUN, favoring access of its projects to the FAUSITA 400 kV node, against the rights of the other applicants competing for access to the same node under conditions of equality, transparency, and non-discrimination.  </w:t>
        <w:br/>
        <w:t xml:space="preserve">133 Record of the SCA3 Information provided by LUMINORA in allegations to the file CFT/DE/134/20, incorporated into the reference file by means of testimony deduction (folio 531).  </w:t>
        <w:br/>
        <w:t xml:space="preserve">134 Information contained in the Council Resolution - Point 2.15. SSR 08/07/2021. Resolution of the access conflict to the electricity transport network raised by the companies SHARK POWER REN 4 S.L., SHARK POWER REN 5 S.L., SHARK POWER REN 6 S.L., SHARK POWER 7 REN S.L., SHARK POWER REN 8 S.L., SHARK POWER REN 9 S.L., and SHARK POWER REN 10 S.L. against LUMINORA SOLAR DOCE S.L. regarding the access requests for the evacuation of the photovoltaic plants “Narval,” “Beluga,” “Yubarta,” “Marsopa,” “Marlin,” “Barracuda,” “Tintorera,” “Orca,” “Cachalote,” “Piraña,” “Esturión,” and “Siluro” of 5001 MW each at the FAUSITA 400 kV substation - Murcia, incorporated into the reference file by means of testimony deduction (folios 554 and 555). Footnote introduced by the Competition Directorate in this citation, to clarify its origin.  </w:t>
        <w:br/>
        <w:t xml:space="preserve">135 Information provided by LUMINORA in allegations to the Statement of Facts (folio 1403).  </w:t>
        <w:br/>
        <w:t xml:space="preserve">S/0003/23  </w:t>
        <w:br/>
        <w:t xml:space="preserve">LUMINORA  </w:t>
        <w:br/>
        <w:t xml:space="preserve">(168) On October 20, 2020, LUMINORA received communication from REE stating that the SCA3 was suspended, as well as all requests submitted thereafter, until the resolution of the conflict CFT/DE/134/20136.  </w:t>
        <w:br/>
        <w:t xml:space="preserve">(169) On July 8, 2021, the SSR Resolution upheld the conflict presented by SHARK POWER, considering it proven that137:  </w:t>
        <w:br/>
        <w:t xml:space="preserve">- “[...] the access requests for the SHARK POWER facilities were submitted on June 3, 2020, three weeks before those of LUMINORA. Moreover, except for the case of the Marlin installation, the confirmation of the guarantee for eleven of the twelve installations was prior to the confirmation of the guarantees of LUMINORA itself” (emphasis added).  </w:t>
        <w:br/>
        <w:t xml:space="preserve">- “[...] LUMINORA submitted an access request only with its facilities on July 28, 2020, before the publication on the web of its designation as IUN and without taking into account the existence of other facilities that were reflected in the resolution of the Autonomous Community. It is evident that its rapid action aimed to guarantee it full access to the node, avoiding the entry of third parties” (emphasis added).  </w:t>
        <w:br/>
        <w:t xml:space="preserve">- “LUMINORA's subsequent attitude is likewise reproachable. Its legally unjustified demand that SHARK POWER directly transfer a request to it as IUN, disregarding that it had already requested REE on June 3, 2020, only serves to create the appearance that SHARK POWER's request is subsequent to its own, when in fact it is the opposite” (emphasis added).  </w:t>
        <w:br/>
        <w:t xml:space="preserve">- All these considerations lead to the conclusion that the acceptance of the present conflict entails ensuring non-discriminatory access among all facilities that had requested individual access to REE concerning the new position of the FAUSITA 400 kV node before the closure of the reference perimeter [...]. Such non-discriminatory access is only ensured through a new and unique joint access request that includes the facilities of LUMINORA and those of SHARK POWER [...] (emphasis added).  </w:t>
        <w:br/>
        <w:t xml:space="preserve">(170) To ensure non-discriminatory access for all facilities that had requested individual access to REE at the FAUSITA 400 kV node before the closure of the reference perimeter138, the SSR Resolution of July 8, 2021 granted one month to the IUN for the submission of a new and unique joint access request that included the facilities of LUMINORA and those of SHARK POWER, including in this case the installation named “Marlín,” since its request had been carried out correctly and completely on June 3, 2020. It is also emphasized that the CNMC should monitor compliance with the access conflict resolution “in light of LUMINORA's actions” in the exercise of its functions as IUN.  </w:t>
        <w:br/>
        <w:t xml:space="preserve">4.2. Current status at the node  </w:t>
        <w:br/>
        <w:t xml:space="preserve">(171) In compliance with the provisions of the SSR resolution of July 8, 2021, on August 2, 2021, LUMINORA, in its capacity as IUN, requested coordinated and joint access at the FAUSITA 400 kV node for 17 installations owned by LUMINORA and SHARK POWER, the projects obtained access to the FAUSITA 400 kV node on September 30, 2021139, up to the maximum admissible capacity at that node. The determination of the allocation of access capacity for each installation was carried out by REE proportionally to the requested access capacity, in the following terms:  </w:t>
        <w:br/>
        <w:t>139 Information provided by SHARK POWER in response to an information request made by the Competition Directorate (folios 281 to 283), as well as in allegations from REE dated March 9, 2023 (folios 1200 to 1209).</w:t>
      </w:r>
    </w:p>
    <w:p>
      <w:r>
        <w:rPr>
          <w:b/>
        </w:rPr>
        <w:t>[Pages 46–48]</w:t>
      </w:r>
    </w:p>
    <w:p>
      <w:r>
        <w:t xml:space="preserve">S/0003/23  </w:t>
        <w:br/>
        <w:t xml:space="preserve">LUMINORA  </w:t>
        <w:br/>
        <w:t xml:space="preserve">(172) Considering the generation with access permission (or acceptability) at the FAUSITA 400 kV node of the transport network, the maximum admissible capacity was reached, exhausting it and without any additional available margin140.  </w:t>
        <w:br/>
        <w:t xml:space="preserve">4.3. Chronology of the main accredited facts  </w:t>
        <w:br/>
        <w:t xml:space="preserve">(173) In order to facilitate a better understanding of the previously described facts, a timeline is included below that reflects, succinctly, some of the main milestones related to the access procedure to the FAUSITA 400 kV node, which is the subject of evaluation in this file. Distinction is made between the actions carried out by LUMINORA, SHARK POWER, and REE.  </w:t>
        <w:br/>
        <w:t xml:space="preserve">140 Allegations presented by REE regarding the deduction of testimony from certain documents of CFT/DE/134/20 (folios 1203 to 1209).  </w:t>
        <w:br/>
        <w:t xml:space="preserve">Comisión Nacional de los Mercados y la Competencia 46 de 110  </w:t>
        <w:br/>
        <w:t xml:space="preserve">C/ Alcalá, 47 – 28014 Madrid - C/ Bolivia, 56 – 08018 Barcelona  </w:t>
        <w:br/>
        <w:t>www.cnmc.es</w:t>
      </w:r>
    </w:p>
    <w:p>
      <w:r>
        <w:t xml:space="preserve">S/0003/23  </w:t>
        <w:br/>
        <w:t xml:space="preserve">LUMINORA  </w:t>
        <w:br/>
        <w:t xml:space="preserve">5. LEGAL GROUNDS  </w:t>
        <w:br/>
        <w:t xml:space="preserve">5.1. Competence to resolve  </w:t>
        <w:br/>
        <w:t xml:space="preserve">(174) According to Article 5.1.c) of the LCNMC, it is the responsibility of the CNMC to "apply the provisions of Law 15/2007, of July 3, regarding conduct that prevents, restricts, and distorts competition"141.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 xml:space="preserve">(175) Consequently, the competence to resolve this procedure corresponds to the Competition Chamber of the CNMC Council, as will be emphasized in section 5.4.1. below.  </w:t>
        <w:br/>
        <w:t xml:space="preserve">5.2. Applicable regulations  </w:t>
        <w:br/>
        <w:t xml:space="preserve">(176) The Competition Chamber must determine, based on the instruction carried out by the DC as reflected in the report and resolution proposal, whether the investigated practices constitute a violation of competition regulations.  </w:t>
        <w:br/>
        <w:t xml:space="preserve">(177) Regarding the applicable national regulations, this file refers to a series of practices carried out during the validity of Law 15/2007, of July 3, on the Defense of Competition, which would be contrary to Article 2 of said regulation, which prohibits the abuse of a dominant position.  </w:t>
        <w:br/>
        <w:t xml:space="preserve">5.3. Proposal of the instructing body  </w:t>
        <w:br/>
        <w:t xml:space="preserve">(178) The DC proposed to this Chamber that the existence of conduct prohibited by Article 2 of the LDC be declared, constituting an abuse of dominant position by LUMINORA, in its capacity as designated IUN at the FAUSITA 400 kV node, consisting of a prioritization in the processing of access to the node of its projects and those of its business group, discriminating against and excluding the projects of third competitors, in the Spanish market for access and connection to the electricity transport network at that node. Furthermore, the DC proposes that joint liability for this infringement be attributed to SOLTEC, as the 100% parent company of LUMINORA, under Article 61.2 of the LDC.  </w:t>
        <w:br/>
        <w:t xml:space="preserve">141 Law 3/2013, of June 4, creating the National Commission of Markets and Competition (LCNMC), BOE No. 134, of June 5, 2013.  </w:t>
        <w:br/>
        <w:t xml:space="preserve">Comisión Nacional de los Mercados y la Competencia 47 de 110  </w:t>
        <w:br/>
        <w:t xml:space="preserve">C/ Alcalá, 47 – 28014 Madrid - C/ Bolivia, 56 – 08018 Barcelona  </w:t>
        <w:br/>
        <w:t>www.cnmc.es</w:t>
      </w:r>
    </w:p>
    <w:p>
      <w:r>
        <w:t xml:space="preserve">S/0003/23  </w:t>
        <w:br/>
        <w:t xml:space="preserve">LUMINORA  </w:t>
        <w:br/>
        <w:t xml:space="preserve">(179) Regarding the sanction, the instructing body proposes that a fine of 387,672 euros be imposed on LUMINORA, applying a sanctioning rate of 3% within the range provided in Article 63.1 of the LDC, for which LUMINORA and SOLTEC would be jointly liable.  </w:t>
        <w:br/>
        <w:t xml:space="preserve">(180) The DC also proposes that the application of the contracting prohibition provided in Article 71.1.b) of the LCSP be declared applicable to both companies.  </w:t>
        <w:br/>
        <w:t xml:space="preserve">5.4. Assessment of the Competition Chamber  </w:t>
        <w:br/>
        <w:t xml:space="preserve">(181) The Competition Chamber of the CNMC must determine whether the actions of LUMINORA, in its capacity as IUN at the FAUSITA 400 kV node of the electricity transport network, as described in the section of accredited facts, constitute an abuse of dominant position as defined in Article 2 of the LDC.  </w:t>
        <w:br/>
        <w:t xml:space="preserve">(182) Article 2 of the LDC prohibits "the abusive exploitation by one or more companies of their dominant position in all or part of the national market." According to the provisions of this precept and established national142 and European143 jurisprudence, for a conduct to be classified as an abuse of dominant position, two conditions must be cumulatively met: (i) that the infringer holds a dominant position in the relevant market in which the investigated conduct occurs, and (ii) that their behavior is abusive of that position.  </w:t>
        <w:br/>
        <w:t xml:space="preserve">(183) Consequently, it is necessary to determine whether LUMINORA holds a dominant position in the market and, if so, whether it has abused that position by preventing or hindering the development of free and effective competition.  </w:t>
        <w:br/>
        <w:t xml:space="preserve">(184) Prior to this dual analysis, it is necessary to determine the competence of the CNMC and whether LUMINORA's conduct is likely to affect the national market.  </w:t>
        <w:br/>
        <w:t xml:space="preserve">5.4.1. Competence of the CNMC  </w:t>
        <w:br/>
        <w:t xml:space="preserve">(185) The accredited facts fall within potential practices prohibited by Article 2 of the LDC. Given the delineation of the geographic market made, it is not considered that such practices affect trade between Member States, and therefore the existence of an infringement of Article 102 of the TFEU has not been assessed.  </w:t>
        <w:br/>
        <w:t xml:space="preserve">(186) However, as established by national jurisprudence in the judicial review of numerous sanctioning resolutions with exclusive application of the LDC for not proceeding with a parallel application of Articles 101 or 102  </w:t>
        <w:br/>
        <w:t xml:space="preserve">142 Supreme Court Judgment of December 2, 2014 Rec 4619/2011 (ECLI: ES:TS: 2014:5365).  </w:t>
        <w:br/>
        <w:t xml:space="preserve">143 Among others, Judgment of the Court of Justice of the European Union C-418/01 IMS Health. (ECLI:EU:C: 2004:257).  </w:t>
        <w:br/>
        <w:t xml:space="preserve">Comisión Nacional de los Mercados y la Competencia 48 de 110  </w:t>
        <w:br/>
        <w:t xml:space="preserve">C/ Alcalá, 47 – 28014 Madrid - C/ Bolivia, 56 – 08018 Barcelona  </w:t>
        <w:br/>
        <w:t>www.cnmc.es</w:t>
      </w:r>
    </w:p>
    <w:p>
      <w:r>
        <w:rPr>
          <w:b/>
        </w:rPr>
        <w:t>[Pages 49–51]</w:t>
      </w:r>
    </w:p>
    <w:p>
      <w:r>
        <w:t xml:space="preserve">S/0003/23  </w:t>
        <w:br/>
        <w:t xml:space="preserve">LUMINORA  </w:t>
        <w:br/>
        <w:t xml:space="preserve">of the TFEU144, the interpretation of national regulations must respect the criteria and principles established by the EU jurisprudence in the interpretation of the aforementioned articles of the TFEU145. Therefore, in the present case, in which an infringement of Article 2 of the LDC is being investigated, it is necessary to apply the jurisprudence of the CJEU regarding Article 102 of the TFEU.  </w:t>
        <w:br/>
        <w:t xml:space="preserve">(187) On the other hand, it is considered that the scope of the affected market is of a supra-autonomous nature, as the distribution of access nodes to the transport network extends throughout the national territory and all of them are susceptible to having the figure of the IUN. Likewise, the regulatory framework that governs the conditions of access to the transport network is national in scope and applies equally to all access requests, regardless of the territory in which such access takes place.  </w:t>
        <w:br/>
        <w:t xml:space="preserve">(188) Although the designation of the IUN has not been carried out in the same manner throughout the national territory, since some autonomous communities declared themselves incompetent to carry it out, this does not imply a differentiated application of the regulation, since, as has been seen, said regulation does not govern the appointment and designation of the IUN. In any case, it is not considered that the manner of such designation has had effects on the assessed behaviors.  </w:t>
        <w:br/>
        <w:t xml:space="preserve">(189) It concerns, as previously noted, behaviors likely to limit the "right of access" to the national single transport network of active operators in the supra-autonomous electricity generation market whose geographical dimension, in the case of Spain, corresponds to the national peninsular territory146.  </w:t>
        <w:br/>
        <w:t xml:space="preserve">(190) The supra-autonomous dimension of the impact on the right of access to the single transport network has been invoked by the Supreme Court, in a judgment of October 8, 2008, as a reason to justify that, while the Autonomous Communities (CCAA) have the competence to resolve "connection conflicts"147, the competence over "access conflicts" must necessarily fall to the central Administration148.  </w:t>
        <w:br/>
        <w:t xml:space="preserve">144 Judgments of the Supreme Court 5306/2006 of December 9, 2016, in case NUM000 and 1822/2020 of December 30 in case VS -505-14 Chevrolet Concessionaires (Cassation Appeal 4038/2019).  </w:t>
        <w:br/>
        <w:t xml:space="preserve">145 Judgment of the National Court of November 22, 2011, confirming the sanction for Article 2 of the LDC in accordance with the community jurisprudence of the Bronner case in file S/0034/08 OLYMPUS MEDICAL SYSTEMS EUROPA GMBH.  </w:t>
        <w:br/>
        <w:t xml:space="preserve">146 See, for example, the decisions of the European Commission in cases COMP/M.5979 – KGHM/TAURON Wytwarzanie/JV, paragraph 24; COMP/M.5711 – RWE/Ensys, paragraph 21, COMP/M.4180 – GDF/Suez, para. 726 or the report of the Competition Defense Tribunal in case C-77/02 IBERENOVA/GAMESA page 42.  </w:t>
        <w:br/>
        <w:t xml:space="preserve">147 Connection conflicts relate to authorizations that depend on factors such as the technical conditions of safety, quality, and health of the facilities.  </w:t>
        <w:br/>
        <w:t xml:space="preserve">148 Judgment of the Supreme Court of October 8, 2008, rec. 538/2006. (ES:TS: 2008:5213).  </w:t>
        <w:br/>
        <w:t xml:space="preserve">S/0003/23  </w:t>
        <w:br/>
        <w:t xml:space="preserve">LUMINORA  </w:t>
        <w:br/>
        <w:t xml:space="preserve">(191) In this case, markets are analyzed that, despite having a geographically very localized dimension, function as a gateway to activities of a much broader scope such as electricity generation149.  </w:t>
        <w:br/>
        <w:t xml:space="preserve">(192) Furthermore, it should be emphasized that the guarantee of the aforementioned right of access to the transport network under competitive conditions is conceived as an essential right to complete the European internal electricity market. Respect for the right of access to transport and distribution networks (which may be affected by the investigated behaviors) constitutes, as affirmed by the CJEU, one of the essential measures that member states must guarantee for the realization of the internal electricity market150. This was, in fact, one of the reasons considered by the Supreme Court in the aforementioned judgment of October 8, 2008, to conclude that the competence of the conflict subject to the main litigation corresponded to the State and not to the Autonomous Community: "for the competence to function correctly, access to the network must be on non-discriminatory, transparent, and reasonable prices, access that is essential to complete the internal electricity market"151.  </w:t>
        <w:br/>
        <w:t xml:space="preserve">(193) In addition, the investigated behaviors affect a strategic sector of the national economy. The impact on "strategic sectors of the economy"152 has also been one of the criteria used by the Constitutional Court, in its judgment of October 22, 2020, in the context of a positive conflict of competence raised by an Autonomous Community, to conclude that the competence corresponded to the CNMC and not to the relevant autonomous authority153. This criterion regarding the supra-autonomous impact of abusive behaviors carried out by an IUN, at a specific access node to the network, is also consistent with the recent practice of this Chamber154.  </w:t>
        <w:br/>
        <w:t xml:space="preserve">149 Judgment of the Constitutional Court 71/2012 of April 16, 2012 (ECLI:ES:TC: 2012:71) in which a positive conflict of competence was resolved in favor of the state competition authority. Such situations in which behaviors that materialize in very localized spaces can have an impact on competition in much broader areas also frequently occur in ports and airports, see for example the Judgment of the CJEU of July 17, 1997, in case C-242/95 - GT-Link v De Danske Statsbaner (ECLI:EU:C:1997:376).  </w:t>
        <w:br/>
        <w:t xml:space="preserve">150 Judgment of the CJEU of May 22, 2008 in case C-439/06 Citiworks, (ECLI: EU:C:2008:298), paragraphs 38 to 44.  </w:t>
        <w:br/>
        <w:t xml:space="preserve">151 Judgment of the Supreme Court of October 8, 2008, rec. 538/2006. (ES:TS: 2008:5213).  </w:t>
        <w:br/>
        <w:t xml:space="preserve">152 Among which are included "electricity, gas, communications and telephony, banks, insurance, fuels, large surfaces".  </w:t>
        <w:br/>
        <w:t xml:space="preserve">153 Judgment of the Constitutional Court 152/2020 of October 22, 2020, BOE no. 305, of November 20, 2020. (ES:TC: 2020:152).  </w:t>
        <w:br/>
        <w:t xml:space="preserve">154 Resolution of the CNMC Council of June 10, 2022, in file S/0022/20 ENEL GREEN POWER, paragraphs 149 to 156.  </w:t>
        <w:br/>
        <w:t xml:space="preserve">S/0003/23  </w:t>
        <w:br/>
        <w:t xml:space="preserve">LUMINORA  </w:t>
        <w:br/>
        <w:t xml:space="preserve">(194) It is therefore estimated that the CNMC is competent to adequately analyze these practices and determine their compatibility with competition law.  </w:t>
        <w:br/>
        <w:t xml:space="preserve">5.4.2. Dominant Position  </w:t>
        <w:br/>
        <w:t xml:space="preserve">5.4.2.1. General Principles  </w:t>
        <w:br/>
        <w:t xml:space="preserve">(195) Although Article 2 of the LDC does not define the concept of dominant position, in accordance with repeated European jurisprudence155, the Commission's Communication on the application of Article 102 of the TFEU156, as well as numerous precedents from the national competition authority157, the dominant position has been defined as "the situation of economic power in which a company finds itself and which allows it to prevent effective competition in the relevant market, granting it the ability to behave with a significant degree of independence from its competitors, its customers, and ultimately, consumers."  </w:t>
        <w:br/>
        <w:t xml:space="preserve">(196) The dominant position of an operator will therefore be determined by its ability to maintain, significantly, independent behavior with respect to its sources of competitive pressure158. This margin  </w:t>
        <w:br/>
        <w:t xml:space="preserve">155 Judgment of the CJEU of February 14, 1978 United Brands vs Commission, case 27/76, (EU:C:1978:22); of February 13, 1979, of February 13, 1979. Hoffman – La Roche v. Commission, case 85/76, (EU:C:1979:36); of November 1983. Michelin v. Commission, case 322/81, (EU:C:1983:313); and of October 3, 1985. Telemarketing, case 311/84, (EU:C:1985:394), of April 29, 2004.  </w:t>
        <w:br/>
        <w:t xml:space="preserve">156 "Guidelines on the priorities of control in its application of Article 82 of the EC Treaty to the abusive exclusionary conduct of dominant companies." (2009/C 45/02).  </w:t>
        <w:br/>
        <w:t xml:space="preserve">157 Resolution of the defunct CNC of February 22, 2011, (file S/0180/10 ArcelorMittal), Resolution of the CNMC of January 21, 2014 (file S/0373/11 CORREOS 2), Resolution of the CNMC of August 26, 2013 (file S/0360/11 AGEDI), Resolution of the CNMC, of June 8, 2017 (file S/DC/0557/15 Nokia), Resolution of the CNMC, of November 21, 2017 (file S/DC/0580/16 Horse Breeders 2) and Resolution of the CNMC of May 30, 2019 (file S/DC/0590/16 DAMA VS SGAE), Resolution of the CNMC of February 18, 2022 (file S/0041/19 CORREOS 3), Resolution of the CNMC of May 17, 2022 (file REAL SOCIEDAD CANINA DE ESPAÑA S/0044/19), Resolution of the CNMC of June 10, 2022 (file ENEL GREEN POWER ESPAÑA S/0022/20), Resolution of the CNMC of October 21, 2022 (file MERCK SHARP DOHME, S.A. S/0026/19), and Resolution of the CNMC of November 10, 2022 (file LEADIANT S/0028/20).  </w:t>
        <w:br/>
        <w:t>158 Case AT.39740 Google Search (Shopping) confirmed by the Judgment of the General Court of November 10, 2021, Google LLC, formerly Google Inc. and Alphabet, Inc. against European Commission, Case T-612/17. (EU: T: 2021:763). In this same sense, the Spanish Competition Authority has ruled: in the Resolution of the defunct CNC of February 22, 2011, (file S/0180/10 ArcelorMittal), and in the Resolutions of the CNMC of August 26, 2013 (file S/0360/11 AGEDI), of January 21, 2014 (file S/0373/11 CORREOS 2), of June 8, 2017 (file S/DC/0557/15 Nokia), of November 21, 2017 (file S/DC/0580/16 Horse Breeders 2), of May 30, 2019 (file S/DC/0590/16 DAMA VS SGAE), of February 18, 2022 (file S/0041/19 CORREOS 3), of May 17, 2022 (file REAL SOCIEDAD CANINA DE ESPAÑA S/0044/19), of June 10, 2022 (file ENEL GREEN POWER ESPAÑA S/0022/20), of October 21, 2022 (file MERCK SHARP DOHME, S.A. S/0026/19), and of November 10, 2022 (file LEADIANT S/0028/20).</w:t>
      </w:r>
    </w:p>
    <w:p>
      <w:r>
        <w:rPr>
          <w:b/>
        </w:rPr>
        <w:t>[Pages 52–54]</w:t>
      </w:r>
    </w:p>
    <w:p>
      <w:r>
        <w:t xml:space="preserve">S/0003/23  </w:t>
        <w:br/>
        <w:t xml:space="preserve">LUMINORA  </w:t>
        <w:br/>
        <w:t xml:space="preserve">independence from competitors and customers should not be absolute, but it is sufficient for it to be "appreciable" or "considerable"159.  </w:t>
        <w:br/>
        <w:t xml:space="preserve">(197) The Spanish competition authority, based on EU jurisprudence, considers that160:  </w:t>
        <w:br/>
        <w:t xml:space="preserve">"A company enjoys a dominant position in a market when it has sufficient economic power and independence of behavior to act without taking into account the possible reactions of competitors and, in this way, is able to modify to its advantage the price or another characteristic of the product."  </w:t>
        <w:br/>
        <w:t xml:space="preserve">(198) When determining a company's dominant position, as noted in the aforementioned Communication from the European Commission on the application of Article 102 TFEU161, "market shares provide a first useful indication for the Commission regarding the structure of the market and the relative importance of the different companies active in the market."  </w:t>
        <w:br/>
        <w:t xml:space="preserve">(199) However, it is necessary to remember that, as the CJEU has specified, market shares are not the only criterion to be considered, so the conditions of the relevant market must be examined, especially the market dynamics162:  </w:t>
        <w:br/>
        <w:t xml:space="preserve">"The existence of a dominant position is, in general, the result of a combination of various factors that, considered in isolation, would not necessarily be decisive."  </w:t>
        <w:br/>
        <w:t xml:space="preserve">(200) For the assessment of the dominant position, it is necessary to carry out a structural analysis of the market and take into account other determining factors, such as the likelihood of entry of potential competitors or the future expansion of actual competitors, along with entry barriers and the bargaining power of the company's customers (countervailing demand power)163.  </w:t>
        <w:br/>
        <w:t xml:space="preserve">(201) It should be noted, in this regard, that several national precedents have determined that the existence of an administrative power or privilege derived from regulation can lead to a dominant position164. Thus, for example, in the well-known "Céntrica" cases, the CNC Council stated that:  </w:t>
        <w:br/>
        <w:t xml:space="preserve">"The distributor, as the holder of an exclusive right that confers that dominant position, is subject to a series of obligations aimed at preventing competition in marketing from being distorted (...)"165.  </w:t>
        <w:br/>
        <w:t xml:space="preserve">"At this point, it is worth noting that both community and national jurisprudence support the doctrine according to which the company with a dominant position has a special responsibility to avoid conduct that harms the free development of competition, especially when it is a dominant position guaranteed by regulation (...)"166.  </w:t>
        <w:br/>
        <w:t xml:space="preserve">(202) Well, as previously seen, the designation of a company as IUN implies the granting of an administrative power or privilege derived from the regulation of the electricity sector by becoming a necessary processor of access requests in a system of granting until the capacity of the node is exhausted. Therefore, in its resolution of June 10, 2022, adopted in File S/0022/20 ENEL GREEN POWER ESPAÑA, this Chamber already declared that, to the extent that the powers of the IUN confer upon it appreciable autonomy to at least delay the requests of other promoters and give preference to the access requests of its own projects, thereby temporarily restricting competition for the capacity of the node, the IUN holds a dominant position in the specific node where it exercises this function167.  </w:t>
        <w:br/>
        <w:t xml:space="preserve">(203) The Energy Directorate of the CNMC itself has indicated that the access system until the capacity is exhausted is what determines the dominant position of the IUN168, especially intense in those nodes close to saturation, combined with the obligation to process requests jointly and coordinated through the IUN. Given the limited existing regulation regarding its actions, the IUN has the freedom to choose which requests it will process jointly and coordinated, and therefore decide or at least significantly influence which requests will be processed first and which at a later time, in situations close to the saturation of the node.  </w:t>
        <w:br/>
        <w:t xml:space="preserve">164 Resolutions of the defunct CNC of April 2, 2009 in the files of the defunct CNC: 641/08 CENTRICA/ENDESA; 642/08 CENTRICA/UNIÓN FENOSA; 643/08 CENTRICA/ELÉCTRICA DEL VIESGO; 644/08 CENTRICA/IBERDROLA; 645/08 CENTRICA/HIDROCANTÁBRICO and Resolution of the CNMC of June 10, 2022 (File ENEL GREEN POWER ESPAÑA S/0022/20).  </w:t>
        <w:br/>
        <w:t xml:space="preserve">165 Resolution of the defunct CNC of April 2, 2009 in file 641/08 CENTRICA/ENDESA.  </w:t>
        <w:br/>
        <w:t xml:space="preserve">166 Resolution of the defunct CNC of April 2, 2009 in file 642/08 CENTRICA/UNIÓN FENOSA.  </w:t>
        <w:br/>
        <w:t xml:space="preserve">167 Resolution of June 10, 2022, File S/0022/20 ENEL GREEN POWER ESPAÑA.  </w:t>
        <w:br/>
        <w:t xml:space="preserve">168 Report dated November 4, 2019, submitted by the Energy Directorate at the request of the Competition Directorate in file S/0022/20 ENEL GREEN POWER ESPAÑA, incorporated into the reference file by means of testimony deduction (pages 1240 to 1251).  </w:t>
        <w:br/>
        <w:t xml:space="preserve">S/0003/23  </w:t>
        <w:br/>
        <w:t xml:space="preserve">LUMINORA  </w:t>
        <w:br/>
        <w:t xml:space="preserve">5.4.2.2. Application to the case: dominant position of LUMINORA as IUN of the FAUSITA 400 kV node  </w:t>
        <w:br/>
        <w:t xml:space="preserve">(204) Given that the market in which the investigated practices take place is that of access and connection to the transport network at the FAUSITA 400 kV node (paragraphs (29) to (123)) and that LUMINORA was designated IUN on July 27, 2020 (paragraph (134)), it is appropriate to maintain, based on the explanations of the previous section, that LUMINORA holds a dominant position in that node.  </w:t>
        <w:br/>
        <w:t xml:space="preserve">(205) LUMINORA rejects this approach in its allegations to the Proposal for Resolution169.  </w:t>
        <w:br/>
        <w:t xml:space="preserve">(206) On the one hand, it argues that the jurisprudence and precedents cited by the DC cannot be taken as a reference, particularly regarding the "Céntrica" cases. LUMINORA points out, as a distinguishing fact, that in the aforementioned cases the dominant position derived from vertical integration by dominant companies that used that dominant position in one market with effects in another vertically related market, while LUMINORA would not be active in the electricity transport market nor, "as of today"170 in generation, and therefore its situation cannot be equated to that of the infringers in the cases cited by the instructing body171.  </w:t>
        <w:br/>
        <w:t xml:space="preserve">(207) In response to the above, it should be recalled that LUMINORA was a direct or indirect promoter of projected facilities that required access to the FAUSITA 400 kV node in such a way that the accused company competed for the limited capacity of the node. In fact, the only economically viable objective169 Párrafos 206 a 226 de las alegaciones de LUMINORA a la Propuesta de Resolución (folios 1621 a 1685).  </w:t>
        <w:br/>
        <w:t xml:space="preserve">170 Párrafo 208 de las alegaciones de LUMINORA a la Propuesta de Resolución (folios 1621 a 1685).  </w:t>
        <w:br/>
        <w:t xml:space="preserve">171 For example, in the price-squeeze cases in the telecommunications sector under Article 102 TFEU, vertically related markets are indeed identified as (i) wholesale access to unbundled local loops and (ii) retail market for broadband services (CJEU judgment of December 13, 2018, Deutsche Telekom AG v. European Commission, case T-827/14, (ECLI:EU:T:2018:930)): "The Commission finds that, during the disputed period, Slovak Telekom held a monopoly position in the wholesale market for unbundled access to local loops and that there were no direct pressures in the form of effective or potential competition nor any bargaining power that limited this company's market power. Slovak Telekom therefore benefited from a dominant position in this market during the disputed period. The Commission also finds that Slovak Telekom benefited from a dominant position during this period in the retail mass market (or mass market) for fixed-location broadband services." In the Telefónica price-squeeze case (reviewed by the CJEU judgment of March 29, 2012, Telefónica v. European Commission, case T-336/07 (ECLI:EU:T:2012:172)), the market definition encompassed two wholesale markets based on territory: "Telefónica had abused its dominant position in the Spanish broadband access markets through a margin squeeze resulting from the disproportion between the rates applied to wholesale and retail broadband access, making it likely that, as a result, competition in the retail market would be restricted."  </w:t>
        <w:br/>
        <w:t xml:space="preserve">Comisión Nacional de los Mercados y la Competencia 54 de 110  </w:t>
        <w:br/>
        <w:t xml:space="preserve">C/ Alcalá, 47 – 28014 Madrid - C/ Bolivia, 56 – 08018 Barcelona  </w:t>
        <w:br/>
        <w:t>www.cnmc.es</w:t>
      </w:r>
    </w:p>
    <w:p>
      <w:r>
        <w:rPr>
          <w:b/>
        </w:rPr>
        <w:t>[Pages 55–57]</w:t>
      </w:r>
    </w:p>
    <w:p>
      <w:r>
        <w:t xml:space="preserve">S/0003/23  </w:t>
        <w:br/>
        <w:t xml:space="preserve">LUMINORA  </w:t>
        <w:br/>
        <w:t xml:space="preserve">rational to request, on its own initiative, the designation of the unpaid position of IUN of said node by LUMINORA was to process access to the network of said generation projects.  </w:t>
        <w:br/>
        <w:t xml:space="preserve">(208) LUMINORA also argues that the concurrence of a dominant position requires a factual analysis of the specific case and that this case cannot be compared to the ENEL GREEN matter when assessing the dominant position of the IUN, considering the existing differences between both172. Such differences would consist of the fact that the investigated behaviors in the ENEL GREEN matter occurred more than 10 years after its appointment as IUN and that such actions referred to the processing of requests that REE was unaware of, so that, in that context, the IUN did have the capacity to alter the temporal priority of those requests in its favor. According to LUMINORA, this last point would not occur in the present case, given that REE was aware, from the beginning, of SHARK POWER's intention to access the node, so that the IUN (LUMINORA) would have lacked the capacity to influence REE's conduct in order to give preference to its own requests over those of its competitors for access to the limited capacity of the node.  </w:t>
        <w:br/>
        <w:t xml:space="preserve">(209) In response to the above, it should first be noted that the fact that in the ENEL GREEN matter, the IUN had exercised its functions for a longer period before engaging in the sanctioned practices does not lead to the exclusion of the existence of a dominant position in the present case. On the contrary, the fact that LUMINORA could engage in the investigated practices immediately after being designated as IUN reinforces the DC's position regarding its capacity to influence, with a wide margin of autonomy, the processing of requests from another promoter, whose projected facilities competed with those of LUMINORA for the capacity of the node.  </w:t>
        <w:br/>
        <w:t xml:space="preserve">(210) It has been established that, after its appointment as IUN on July 27, 2020, by the DGEAIM of the Government of the Region of Murcia, in the FAUSITA 400 kV node of the electricity transmission network173, LUMINORA enjoyed a margin of discretion and autonomy in the coordinated processing of requests, which allowed it, in fact, to include some requests and exclude others, violating the reference perimeter set by REE as it pertains to a new position that can be understood as planned according to the Additional Provision 4 of Royal Decree Law 15/2018.  </w:t>
        <w:br/>
        <w:t xml:space="preserve">(211) LUMINORA not only openly disagreed with REE regarding the configuration of the reference perimeter in its letter of September 25, 2020174, but also submitted a third SCA on October 14, 2020, violating said reference perimeter despite REE reiterating in its communication on September 18, 2020, that it should include the facilities of SHARK POWER alongside those promoted by LUMINORA.  </w:t>
        <w:br/>
        <w:t xml:space="preserve">(212) Therefore, the established fact that REE urged LUMINORA to include in a new SCA the projects of SHARK POWER, alongside its own projects, and that LUMINORA refused to follow up on this instruction, reflects its margin of autonomy and that this conduct constituted an obstacle for REE to correctly pronounce on the requested access. In fact, the fact that REE was aware of SHARK POWER's access request and that, despite this, LUMINORA was able to influence its processing, openly refusing to include it in the SCA, not only refutes LUMINORA's thesis but also confirms its dominant position as IUN of the FAUSITA 400 kV node by demonstrating a capacity for influence in the processing of access requests that goes even beyond that exercised by the sanctioned IUN in the ENEL GREEN matter.  </w:t>
        <w:br/>
        <w:t xml:space="preserve">(213) On the other hand, it is appropriate to refer to what the DC pointed out in the Proposal for Resolution regarding LUMINORA's market share. As the company itself has indicated, SOLTEC, the parent company of LUMINORA, has been assigned 99.77 MW, so this promoter has 29% of the access capacity of the FAUSITA 400 kV node175. Although these shares do not reach the thresholds that are generally estimated for determining a dominant position, the role of the IUN in processing access requests is decisive. This is not only because the IUN's actions are essential for REE to be aware of the requests from its competitors for access to the limited capacity of the node, but also because, as evidenced by the established facts in the present File, even when the network manager is informed of such requests by other means, the IUN has the maneuvering margin to significantly hinder the access procedure. Thus, even when a timely access conflict is raised that would allow REE to redirect the situation, preventing the definitive exclusion of the IUN's competitors from access to the node, the IUN has sufficient room for action to cause a temporary exclusion for a non-negligible period.  </w:t>
        <w:br/>
        <w:t xml:space="preserve">(214) While the decision on granting a specific access permit rests with REE, it is also true that there is a moment in the processing that is beyond the control, not only of the other promoters but of the network manager itself, so the IUN can, at its discretion, give preference to some requests over others, reducing to a minimum the negotiating power of the promoters requesting access to said node176. This was evident when SHARK POWER unsuccessfully attempted to contact the IUN to remind it of the existence of its individual access requests through the FAUSITA 400 kV node of the electricity transmission network, as well as when, despite REE being aware of this access request as communicated by SHARK POWER itself, LUMINORA declined to include its competitor's facilities for access to the limited capacity of the FAUSITA 400 kV node in the SCA.  </w:t>
        <w:br/>
        <w:t xml:space="preserve">(215) According to LUMINORA, the DC is mistaken about the IUN's dominant position, given that SHARK POWER's unsuccessful attempts to contact it to remind it of the existence of its access requests would respond to reasons not attributable to LUMINORA. Although it is noted that, on the same day that the designation of the IUN was made public (July 30, 2020), SHARK POWER sent a burofax and contacted LUMINORA by phone to inform it that it had requested access to its facilities to the node prior to its appointment (paragraphs (138) to (139), LUMINORA reproaches that SHARK POWER would not have contacted "the person designated to act as IUN177," whose contact details were published by REE on its website. LUMINORA also argues that SHARK POWER did not attach the mandatory information for its inclusion in the SCA to the burofax and that it did not receive said document until 26 days later due to postal service issues during the pandemic.  </w:t>
        <w:br/>
        <w:t>(216) The truth, however, is that, as stated in the established facts of the SSR resolution of July 8, 2021, which resolved CFT/DE/134/20: "SHARK POWER, from the very day of July 30, repeatedly expressed, as recorded in the file, its opposition to the exclusion of its facilities from the first coordinated access request and knowing, because it had been communicated to it by the representative of LUMINORA, as it acknowledges in its allegations that it would proceed to include its facilities in subsequent requests to the initial one. Therefore, SHARK...</w:t>
      </w:r>
    </w:p>
    <w:p>
      <w:r>
        <w:rPr>
          <w:b/>
        </w:rPr>
        <w:t>[Pages 58–60]</w:t>
      </w:r>
    </w:p>
    <w:p>
      <w:r>
        <w:t xml:space="preserve">S/0003/23  </w:t>
        <w:br/>
        <w:t xml:space="preserve">LUMINORA  </w:t>
        <w:br/>
        <w:t xml:space="preserve">POWER avoided the consolidation of the situation that could have arisen from submitting its request to the IUN” 178.  </w:t>
        <w:br/>
        <w:t xml:space="preserve">(217) Independently, therefore, of the aforementioned incidents in the communication between SHARK POWER and LUMINORA, it is clear that although LUMINORA was aware of its competitor's access request due to the capacity of the FAUSITA 400 kV node, the IUN had no intention of including SHARK POWER's request in the first SCA, nor in the two subsequent SCAs, thus failing not only to comply with the criterion of temporal precedence but also directly disregarding the instructions of the network manager, which evidences its decision-making power in the inclusion of requests from other promoters.  </w:t>
        <w:br/>
        <w:t xml:space="preserve">(218) Thus, in general terms, the IUN has the power to decide which projects are included in the coordinated access request it submits, and which are not, without REE being able to control this situation, so its decision can only be reviewed in conflict proceedings, as occurred in this situation and could be in judicial proceedings. The role of the IUN is even more decisive considering that, in practice, REE will only allocate capacity to the requests that the IUN submits, since in most cases it will be unaware of the existence of other requests unless it is through the IUN.  </w:t>
        <w:br/>
        <w:t xml:space="preserve">(219) LUMINORA also opposes this argument, as it maintains that it never concealed any information from REE and always had the necessary information to assess the SCAs submitted by LUMINORA in its capacity as IUN before its appointment, to define the temporal precedence and the reference perimeter. Thanks to this, REE requested LUMINORA to rectify the first SCA through its communication of September 18, 2020, informing LUMINORA, SHARK POWER, and ALLEANS, that they should include their facilities in a single coordinated access request, all before September 25, 2020, the date on which REE became aware of the access conflict raised by SHARK POWER before the CNMC.  </w:t>
        <w:br/>
        <w:t xml:space="preserve">(220) As has been pointed out, the figure of the IUN is regulated so that a requester is designated as a necessary processor and representative of all promoters who submit access requests to the same node before REE. This dual promoter-processor condition resulting from this administrative privilege is what endows the IUN with a dominant position and, therefore, with the special responsibility to treat all requests equally, without giving preference to any, including its own.  </w:t>
        <w:br/>
        <w:t xml:space="preserve">178 Resolution of the Council - Point 2.15. SSR 08/07/2021. Resolution of the access conflict to the electricity transmission network raised by the companies SHARK POWER REN 4 S.L., SHARK POWER REN 5 S.L., SHARK POWER REN 6 S.L., SHARK POWER 7 REN S.L., SHARK POWER REN 8 S.L., SHARK POWER REN 9 S.L., and SHARK POWER REN 10 S.L. against LUMINORA SOLAR DOCE S.L. regarding the access requests for the evacuation of the photovoltaic plants “Narval”, “Beluga”, “Yubarta”, “Marsopa”, “Marlin”, “Barracuda”, “Tintorera”, “Orca”, “Cachalote”, “Piraña”, “Esturión”, and “Siluro” of 5001 MW each at the FAUSITA 400 kV substation -Murcia-. Incorporated into the reference file by testimony deduction (folio 556).  </w:t>
        <w:br/>
        <w:t xml:space="preserve">Comisión Nacional de los Mercados y la Competencia 58 de 110  </w:t>
        <w:br/>
        <w:t xml:space="preserve">C/ Alcalá, 47 – 28014 Madrid - C/ Bolivia, 56 – 08018 Barcelona  </w:t>
        <w:br/>
        <w:t>www.cnmc.es</w:t>
      </w:r>
    </w:p>
    <w:p>
      <w:r>
        <w:t xml:space="preserve">S/0003/23  </w:t>
        <w:br/>
        <w:t xml:space="preserve">LUMINORA  </w:t>
        <w:br/>
        <w:t xml:space="preserve">(221) Regarding the dominant position of the IUN due to its capacity to decide which installations will be part of the SCAs, LUMINORA itself has acknowledged during the proceedings that: “The same analysis could not be made regarding the request of DRES, of which REE could only have knowledge because Luminora included its request in the SCA2” 179. This decision-making capacity is also evident in REE's need to urge LUMINORA to include SHARK POWER's projects in the SCAs and that it refused to do so on two occasions, ultimately presenting an SCA3 that only included its own facilities, excluding those of SHARK POWER.  </w:t>
        <w:br/>
        <w:t xml:space="preserve">(222) In light of all the above, this Chamber considers the dominant position of LUMINORA in its capacity as IUN of the electricity transmission network node, FAUSITA 400 kV, to be established.  </w:t>
        <w:br/>
        <w:t xml:space="preserve">5.4.3. Abusive conduct  </w:t>
        <w:br/>
        <w:t xml:space="preserve">(223) Once LUMINORA's dominant position in access and connection to the electricity transmission network through the FAUSITA 400 kV node has been determined, the second step is to determine whether LUMINORA's conduct constitutes an abuse in accordance with Article 2 of the LDC, that is, whether the assessment of the established facts allows us to conclude that LUMINORA abused that dominant position by providing discriminatory and exclusionary treatment against its potential competitors in the processing of coordinated and joint access requests before REE.  </w:t>
        <w:br/>
        <w:t xml:space="preserve">5.4.3.1. General principles  </w:t>
        <w:br/>
        <w:t xml:space="preserve">(224) Article 2 of the LDC mentions various behaviors that may be considered abusive, which do not constitute a closed catalog. Specifically, Article 2 of the LDC establishes that:  </w:t>
        <w:br/>
        <w:t xml:space="preserve">“1. The abusive exploitation by one or more companies of their dominant position in all or part of the national market is prohibited.  </w:t>
        <w:br/>
        <w:t xml:space="preserve">2. The abuse may consist, in particular, of:  </w:t>
        <w:br/>
        <w:t xml:space="preserve">a) The direct or indirect imposition of prices or other commercial or service conditions that are not equitable.  </w:t>
        <w:br/>
        <w:t xml:space="preserve">b) The limitation of production, distribution, or technical development to the unjustified detriment of companies or consumers.  </w:t>
        <w:br/>
        <w:t xml:space="preserve">c) The unjustified refusal to satisfy demands for the purchase of products or the provision of services.  </w:t>
        <w:br/>
        <w:t xml:space="preserve">179 Allegations of LUMINORA to the PCH (folio 1419).  </w:t>
        <w:br/>
        <w:t xml:space="preserve">Comisión Nacional de los Mercados y la Competencia 59 de 110  </w:t>
        <w:br/>
        <w:t xml:space="preserve">C/ Alcalá, 47 – 28014 Madrid - C/ Bolivia, 56 – 08018 Barcelona  </w:t>
        <w:br/>
        <w:t>www.cnmc.es</w:t>
      </w:r>
    </w:p>
    <w:p>
      <w:r>
        <w:t xml:space="preserve">S/0003/23  </w:t>
        <w:br/>
        <w:t xml:space="preserve">LUMINORA  </w:t>
        <w:br/>
        <w:t xml:space="preserve">d) The application, in commercial or service relationships, of unequal conditions for equivalent performances, placing some competitors at a disadvantage compared to others.  </w:t>
        <w:br/>
        <w:t xml:space="preserve">e) The subordination of the conclusion of contracts to the acceptance of supplementary performances that, by their nature or according to commercial practices, are not related to the object of those contracts.”  </w:t>
        <w:br/>
        <w:t xml:space="preserve">(225) According to EU jurisprudence —whose criteria and interpretative principles of the articles of the TFEU180 are applicable to the interpretation of national regulations when this is the only applicable one, as is the case in the present file where only Article 2 of the LDC applies— there are two key elements in the definition of abuse of a dominant position. On the one hand, the “normal competition means” defined in the judgment of the CJEU of February 13, 1979181 and, on the other, the “special responsibility” that falls on the dominant company consisting of “not preventing, through its behavior, the development of effective and undistorted competition in the common market”182.  </w:t>
        <w:br/>
        <w:t xml:space="preserve">(226) Precisely for this reason, although the dominant position is not in itself constitutive of an infringement, the company holding that position is obliged in any case not to contribute with its conduct to diminishing competition in a market where it is already weakened by that dominant position.  </w:t>
        <w:br/>
        <w:t xml:space="preserve">(227) As the CJEU has reiterated, the dominant company has the right to defend its interests, but at the same time, the special responsibility not to harm effective competition in the market (emphasis added):183  </w:t>
        <w:br/>
        <w:t xml:space="preserve">“[…] the existence of a dominant position does not deprive a company in that position of the right to protect its own interests  </w:t>
        <w:br/>
        <w:t xml:space="preserve">180 Judgment of the National Court of November 22, 2011 confirming the sanction for art. 2 of LDC in accordance with the community jurisprudence of the Bronner case in file S/0034/08 OLYMPUS MEDICAL SYSTEMS EUROPA GMBH. Judgments of the Supreme Court 5306/2006 of December 9, 2016 in case NUM000 and 1822/2020 of December 30 in case VS -505-14 Chevrolet Dealers (Cassation Appeal 4038/2019); Judgment of the National Court of November 22, 2011 confirming the sanction for art. 2 of LDC in accordance with the community jurisprudence of the Bronner case in file S/0034/08 OLYMPUS MEDICAL SYSTEMS EUROPA GMBH.  </w:t>
        <w:br/>
        <w:t xml:space="preserve">181 “The concept of abusive exploitation is an objective concept that refers to the activities of a company in a dominant position that may influence the structure of a market in which, precisely due to the presence of the company in question, the intensity of competition is already weakened, and that produce the effect of hindering, by means other than those governing normal competition of products or services according to the performances of economic agents, the maintenance of the level of competition that still exists in the market or the development of that competition” (Case 85/76 HOFFMANN-LA ROCHE /COMMISSION).  </w:t>
        <w:br/>
        <w:t xml:space="preserve">182 Judgment of the CJEU of November 9, 1983 (case 322/81, MICHELIN I), paragraph 57; C-202/07P, (ECLI:EU:C:2009:214) (France Telecom), paragraph 105 and CJEU September 6, 2017, C-413/14 P, (Intel), paragraph 135. Decision of February 10, 2021, Case AT.40394 (Aspen), paragraphs 78 and 79.  </w:t>
        <w:br/>
        <w:t xml:space="preserve">183 Judgment of the CJEU of January 30, 2020, Generics (UK) and others, C-307/18, (EU:C:2020:52), paragraphs 149-153.  </w:t>
        <w:br/>
        <w:t xml:space="preserve">Comisión Nacional de los Mercados y la Competencia 60 de 110  </w:t>
        <w:br/>
        <w:t xml:space="preserve">C/ Alcalá, 47 – 28014 Madrid - C/ Bolivia, 56 – 08018 Barcelona  </w:t>
        <w:br/>
        <w:t>www.cnmc.es</w:t>
      </w:r>
    </w:p>
    <w:p>
      <w:r>
        <w:rPr>
          <w:b/>
        </w:rPr>
        <w:t>[Pages 61–63]</w:t>
      </w:r>
    </w:p>
    <w:p>
      <w:r>
        <w:t xml:space="preserve">S/0003/23  </w:t>
        <w:br/>
        <w:t xml:space="preserve">LUMINORA  </w:t>
        <w:br/>
        <w:t xml:space="preserve">commercial interests when they are attacked, nor the reasonable ability to carry out the acts it deems appropriate to protect such interests (judgment of February 14, 1978, United Brands and United Brands Continental/Commission, 27/76, EU:C:1978:22, paragraph 189). […]. However, such conduct is not permissible when its purpose is precisely to reinforce the dominant position of its author and to abuse it (see, in this regard, the judgment of February 14, 1978, United Brands and United Brands Continental/Commission, 27/76, EU:C:1978:22, paragraph 189). Indeed, a special responsibility rests on the company occupying a dominant position, that of not harming effective and undistorted competition in the internal market (judgment of September 6, 2017, Intel/Commission, C-413/14 P, EU:C:2017:632, paragraph 135 and cited case law) […]”.  </w:t>
        <w:br/>
        <w:t xml:space="preserve">(228) This special responsibility that weighs on a dominant company must be assessed in light of the specific circumstances of each case that demonstrate that competition is weakened, as confirmed by the TGUE in the Google Shopping case: 184  </w:t>
        <w:br/>
        <w:t xml:space="preserve">“165. Furthermore, the material scope of the special responsibility that weighs on a dominant company must be assessed in light of the specific circumstances of each case that demonstrate that competition is weakened (see, in this regard, the judgment of February 17, 2011, TeliaSonera Sverige, C-52/09, EU:C:2011:83, paragraph 84 and cited case law)”.  </w:t>
        <w:br/>
        <w:t xml:space="preserve">(229) On the other hand, it should be noted that Article 2.3 of the LDC provides that the prohibition of abuse of a dominant position set forth in that article shall also apply “in cases where the dominant position in the market of one or more companies has been established by legal provision”.  </w:t>
        <w:br/>
        <w:t xml:space="preserve">(230) Specifically, in relation to regulated sectors, several national precedents in the Céntrica cases determined that the existence of an administrative privilege derived from regulation185 can lead to a dominant position and that, in the event of abuse, it may constitute a violation of Article 2 LDC186:  </w:t>
        <w:br/>
        <w:t xml:space="preserve">“In this case, the seriousness of the infringement is undeniable. The authorities, both national and community, have shown their commitment to promoting competition in the market for a basic good, such as electricity, which is an input for most economic activities. To this end, it is evident that the legislator has sought to eliminate obstacles to the entry of new marketers and to ensure non-discriminatory treatment towards them by vertically integrated operators. The conduct of ENDESA frustrates the efforts of the legislator. By taking advantage of the dominant position conferred by the legal monopoly it holds over the distribution network, it has committed an abuse that had the intent and ability to hinder the entry of new competitors. It has also challenged the principle of non-discrimination, acting at least in a non-neutral manner towards its competitors, at a time when the liberalization process was still in its early stages and information about customers was key. Both infringements must be assessed together, as they serve the same purpose of preserving ENDESA's position by making it difficult for customers to enter the free market, particularly to the detriment of its competitors.”  </w:t>
        <w:br/>
        <w:t xml:space="preserve">5.4.3.2. Discriminatory Abuse  </w:t>
        <w:br/>
        <w:t xml:space="preserve">(231) Regarding the type of abuse affecting the present case, the discriminatory treatment provided by the dominant operator, in this case, LUMINORA in its capacity as IUN, in the exercise of the exclusive rights granted by sectoral regulations concerning other competing promoters, without a request or refusal to provide a commercial relationship between them187, which caused a competitive disadvantage in vertically related markets, is particularly relevant.  </w:t>
        <w:br/>
        <w:t xml:space="preserve">(232) This type of discriminatory abuse, which does not require the exclusion of the affected third competitors as a constitutive element, is included in Article 2.2(d) of the LDC, which, in terms very similar to Article 102(c) of the TFEU188, provides that the abuse may consist, in particular, of “d) the application, in commercial or service relationships, of unequal conditions for equivalent performances, which places some competitors at a disadvantage compared to others.”  </w:t>
        <w:br/>
        <w:t xml:space="preserve">(233) In reference to Article 102(c) of the TFEU, community case law has established the constitutive elements of this discriminatory abuse, also included in paragraph d) of Article 2.2 of the LDC: “equivalent performances,” “unequal conditions,” and “competitive disadvantage.”  </w:t>
        <w:br/>
        <w:t xml:space="preserve">a) Equivalent Performances  </w:t>
        <w:br/>
        <w:t xml:space="preserve">(234) The first of the elements “equivalent performances” must be evaluated taking into account all the circumstances of the case and not solely from the perspective of the dominant company. This was pointed out by the decision of the authority responsible for the interpretation of Article 60 of the now-defunct Treaty of the European Community of Coal and Steel, which stated that:189  </w:t>
        <w:br/>
        <w:t xml:space="preserve">“(...) for transactions to be comparable, it is also necessary that they refer to the same products or to equivalent products and that they do not differ significantly in relation to the particular characteristics considered decisive in commercial operations (...)”.  </w:t>
        <w:br/>
        <w:t xml:space="preserve">(235) Therefore, a basic first requirement for considering the performances as equivalent is that the compared products or services are similar in a physical or functional sense190, without needing to be identical, as long as the essence is maintained. It is also required that there is a comparable commercial context191 and a temporal proximity192.  </w:t>
        <w:br/>
        <w:t xml:space="preserve">(236) Regarding the comparable nature of different situations, EU case law has determined that193: “The elements that characterize different situations and, thus, their comparable nature, must be assessed, in particular, in light of the object and purpose of the community act that establishes the distinction in question. Furthermore, the principles and objectives of the area to which the act in question belongs must be taken into account.”  </w:t>
        <w:br/>
        <w:t xml:space="preserve">b) Unequal Conditions  </w:t>
        <w:br/>
        <w:t xml:space="preserve">(237) The second of the elements for considering that the conduct constitutes a discriminatory abuse requires that the dominant company applies “unequal conditions” to these equivalent performances. The assessment of the inequality between the conditions applied by the dominant operator must be based on a comparison of the fundamental elements of the equivalent transactions.  </w:t>
        <w:br/>
        <w:t xml:space="preserve">c) Competitive Disadvantage  </w:t>
        <w:br/>
        <w:t xml:space="preserve">(238) The third and final element required by Article 2.2(d) of the LDC is the “competitive disadvantage” that this discriminatory treatment fosters, being  </w:t>
        <w:br/>
        <w:t xml:space="preserve">189 Decision of the Commission of December 22, 1972, amending Decision No. 30/53 of May 2, 1953, concerning practices prohibited by paragraph 1 of Article 60 of the Treaty in the common market of coal and steel (72/440/CECA).  </w:t>
        <w:br/>
        <w:t xml:space="preserve">190 Case 27/76, United Brands Company v Commission [1978] ECR 207, paragraph 204.  </w:t>
        <w:br/>
        <w:t xml:space="preserve">191 See Cases T-219/99 British Airways plc v Commission [2003] ECR II-5917 appeal Case C-95/04 P British Airways plc v Commission [2007] ECR I-2331, C-52/07 Kanal 5 Ltd and TV 4 AB v Föreningen Svenska Tonsättares Internationella Musikbyrå (STIM) [2008] ECR I-9275.  </w:t>
        <w:br/>
        <w:t xml:space="preserve">192 Case C-525/16 MEO—Serviços de Comunicações e Multimédia SA v Autoridade da Concorrência, (ECLI:EU:C:2017:1020), paragraph 57.  </w:t>
        <w:br/>
        <w:t>193 Judgment of the General Court in Case T-612/17, Google LLC and Alphabet, Inc v Commission of November 10, 2021. In this regard, the judgments of October 27, 1971, Rheinmühlen Düsseldorf, 6/71, Rec. p. 823, paragraph 14; of October 19, 1977, Ruckdeschel and others, 117/76 and 16/77, Rec. p. 1753, paragraph 8; of October 5, 1994, Germany/Council, C-280/93, Rec. p. I-4973, paragraph 74, as well as of March 10, 1998, T. Port, C-364/95 and C-365/95, Rec. p. I-1023, paragraph 83). As well as judgments of September 17, 2007, Microsoft v Commission, T-201/04, EU: T:2007:289, paragraphs 208, 388, 390, 421 and 436) and Judgment of the General Court of November 10, 2021, in Case T 612/17, (paragraphs 155 and following) — Google Shopping (EU: T: 2021:763).</w:t>
      </w:r>
    </w:p>
    <w:p>
      <w:r>
        <w:rPr>
          <w:b/>
        </w:rPr>
        <w:t>[Pages 64–66]</w:t>
      </w:r>
    </w:p>
    <w:p>
      <w:r>
        <w:t xml:space="preserve">S/0003/23  </w:t>
        <w:br/>
        <w:t xml:space="preserve">LUMINORA  </w:t>
        <w:br/>
        <w:t xml:space="preserve">necessary194 for the parties to have a competitive relationship among themselves195. To determine that the differences in treatment by the dominant company constitute an infringement of competition law, the jurisprudence of the Union196 has required that such unequal treatment must have sufficient capacity to generate that competitive disadvantage and, more specifically, that, in light of the specific circumstances and the extent of the differentiated treatment, a significant impact on its competitive position occurs.  </w:t>
        <w:br/>
        <w:t xml:space="preserve">(239) In any case, as indicated by the jurisprudence of the European Union ut supra, it is not about preventing a company from achieving a dominant position through its merits that displaces less efficient competitors, nor maintaining the permanence in the market of the latter197, but rather it should be viewed from the perspective of the principle of equality. As a general principle of Union Law, the principle of equality has been recognized by community jurisprudence requiring "that comparable situations are not treated differently and that different situations are not treated identically, unless such treatment is objectively justified" [...] The violation of the principle of equal treatment due to different treatment implies that the situations in question are comparable, taking into account the set of elements that characterize them198.  </w:t>
        <w:br/>
        <w:t xml:space="preserve">(240) The existence of exclusive rights granted by legal imperative, such as those associated with the figure of the IUN, has been analyzed by the recent Judgment of the CJEU adopted in Case C-377/20 Servizio Electrico Nazionale SpA regarding the exercise that must be carried out by the company that holds exclusive rights in order to protect the principle of non-discrimination, avoiding favoring its own facilities over those of its competitors199:  </w:t>
        <w:br/>
        <w:t xml:space="preserve">194 While initially community precedents required that the dominant party and the one that is disadvantaged compete among themselves and the competitive obstacle for the disadvantaged party had to be examined in the market for which the goods/services acquired are used Case C-52/07 Kanal 5 Ltd and TV 4 AB v Föreningen Svenska Tonsättares Internationella Musikbyrå (STIM) upa. [2008] ECR I-9275., following Case C-525/16 MEO—Serviços de Comunicações e Multimédia SA v Autoridade da Concorrência, EU:C:2017:1020 paragraph 69 "the rigorous application of [Article 102(c)] requires... that it be established that there is a competitive relationship between the business partners of the dominant company".  </w:t>
        <w:br/>
        <w:t xml:space="preserve">195 Case C—52/07 Kanal 5 LTd and TV4 Av;  </w:t>
        <w:br/>
        <w:t xml:space="preserve">196 Case C-525/16 MEO—Serviços de Comunicações e Multimédia SA v Autoridade da Concorrência, EU:C:2017:1020, paragraph 63.  </w:t>
        <w:br/>
        <w:t xml:space="preserve">197 Judgment of the CJEU of May 12, 2022, concerning a request for a preliminary ruling in Case C-377/20 Servizio Electrico Nazionale SpA, paragraph 73. (ECLI:EU:C: 2022:379).  </w:t>
        <w:br/>
        <w:t xml:space="preserve">198 Société Arcelor Atlantique et Lorraine and others C-127/07 of December 16, 2008 paragraphs 23 and 25 and judgments of December 13, 1984, Sermide, 106/83, Rec. p. 4209, paragraph 28; of October 5, 1994, Crispoltoni and others, C-133/93, C-300/93 and C-362/93, Rec. p. I-4863, paragraphs 50 and 51, as well as of July 11, 2006, Franz Egenberger, C-313/04, Rec. p. I-6331, paragraph 33.  </w:t>
        <w:br/>
        <w:t xml:space="preserve">199 Judgment of the CJEU of May 12, 2022, concerning a request for a preliminary ruling in Case C-377/20 Servizio Electrico Nazionale SpA, paragraphs 91, 96 and 101 (ECLI:EU:C: 2022:379).  </w:t>
        <w:br/>
        <w:t xml:space="preserve">Comisión Nacional de los Mercados y la Competencia 64 de 110  </w:t>
        <w:br/>
        <w:t xml:space="preserve">C/ Alcalá, 47 – 28014 Madrid - C/ Bolivia, 56 – 08018 Barcelona  </w:t>
        <w:br/>
        <w:t>www.cnmc.es</w:t>
      </w:r>
    </w:p>
    <w:p>
      <w:r>
        <w:t xml:space="preserve">S/0003/23  </w:t>
        <w:br/>
        <w:t xml:space="preserve">LUMINORA  </w:t>
        <w:br/>
        <w:t xml:space="preserve">"91. (...) it is appropriate to recall that it should be considered that the fact that a company that holds exclusive rights, such as a legal monopoly, uses these rights to expand the dominant position it occupies in a market thanks to those rights over another market constitutes an exploitation of resources that are, in principle, inaccessible to a hypothetical equally efficient competitor, but that does not occupy a dominant position."  </w:t>
        <w:br/>
        <w:t xml:space="preserve">"96. However, to act in accordance with the particular responsibility that it had due to its dominant position in the protected market, SEN had to, to anticipate the desire of third-party companies wishing to develop their presence in the free market to also access that information, offer its customers the possibility of receiving offers from companies that did not belong to the ENEL group in a manner that was not discriminatory, particularly seeking to avoid the creation of a bias in the collection of consents that could result in the lists to be transferred to EE containing significantly more data than those intended for sale to the competitors of that company."  </w:t>
        <w:br/>
        <w:t xml:space="preserve">"101. Well, it is impossible that a hypothetical competitor could have adopted such conduct, since, due to the position occupied by SEN in the protected market after the removal of the legal monopoly previously held by the company ENEL, no competing company could have a structure that could provide, in an equally high number, the customer data from the protected market" (emphasis added).  </w:t>
        <w:br/>
        <w:t xml:space="preserve">(241) Regarding national jurisprudence, the judgment of October 21, 2021, of the Audiencia Nacional confirmed the existence of an abuse of dominant position consisting of the commercial discrimination of the traction service offer of the dominant operator offered to certain operators under privileged and preferential conditions200:  </w:t>
        <w:br/>
        <w:t xml:space="preserve">"The CNMC includes in the sanctioning resolution the reasons that justify the imputation and sanction under Article 2 by stating: Such abuse has materialized in the commercial discrimination against third railway operators (particularly against members of the AEFP) in its offer of railway traction services for the transport of goods in Spain, in relation to the conditions agreed with the companies TRANSFESA, PIF, HISPANAAUTO and DB SR DEUTSCHLAND. The agreements signed by RENFE with DB SR DEUTSCHLAND, TRANSFESA, PIF and HISPANAUTO regarding railway traction services contain the following discriminatory commercial conditions with respect to third traction applicants."  </w:t>
        <w:br/>
        <w:t xml:space="preserve">5.4.3.3. Exclusionary abuse  </w:t>
        <w:br/>
        <w:t xml:space="preserve">(242) The concept of "abusive exploitation of a dominant position" in the sense of Article 102 TFEU is an objective concept that the CJEU has confirmed201 in its judgment of January 30, 2020201, indicating that "the activities of a company in a dominant position that, in a market where, precisely due to the presence of the company in question, the intensity of competition is already weakened, produce the effect of hindering, by means other than those governing normal competition of products or services according to the performances of economic agents, the maintenance of the level of competition that still exists in the market or the development of that competition."  </w:t>
        <w:br/>
        <w:t xml:space="preserve">(243) In the national sphere, the Supreme Court has defined the abuse of dominant position as202: "a singular modality of abuse of right; a qualified type of this, which based on the privileged economic freedom enjoyed by the dominant company, exceeds the normal limits of the exercise of the right to obtain advantages from transactions, lacking justification, that it could not have obtained in the case of a practicable and sufficiently effective competition, directly harming the interests of third parties or the general interest that the competition defense system attends to. It is, in short, an antisocial exercise of the exceptional economic freedom that grants a dominant position in the market."  </w:t>
        <w:br/>
        <w:t xml:space="preserve">(244) The Supreme Court has pointed out, however, that "not every restriction in the competitive structure of the market made from a dominant position will be qualified as abusive exploitation"203, but only that conduct which lacks objective justification and limits or prevents the entry of competitors.  </w:t>
        <w:br/>
        <w:t xml:space="preserve">(245) Indeed, as noted by the Judgment of the CJEU of May 12, 2022204: "When a competition authority verifies that a practice carried out by a company occupying a dominant position may undermine effective and undistorted competition in the internal market, that company can still demonstrate, so that it is not considered that such practice constitutes an abusive exploitation of the dominant position, that it is or was objectively justified, either by certain circumstances of the case at hand, which must be, in particular, external to the company in question (see, in this sense, the judgment of February 17, 2011, TeliaSonera Sverige, C-52/09, EU:C:2011:83, paragraphs 31 and 75), or, taking into account the objective effectively pursued by Article 102 TFEU, by the interest of consumers [see, in particular, in this sense, the 201 Judgment of the CJEU of January 30, 2020, Generics (UK) and others, C-307/18, (EU:C:2020:52), paragraph 148 and cited jurisprudence.  </w:t>
        <w:br/>
        <w:t xml:space="preserve">202 Judgment of the Supreme Court, of May 8, 2003, Tándem Transportes and Ruta Sur, Cassation Appeal No. 4495/1998, FD 12º. (STS 3133/2003 - ECLI:ES:TS:2003:3133).  </w:t>
        <w:br/>
        <w:t xml:space="preserve">203 Judgment of the Supreme Court 583/2018, of April 10, 2018. (ECLI ES:TS: 2018:1362) Cassation Appeal: 3568/2015.  </w:t>
        <w:br/>
        <w:t xml:space="preserve">204 Judgment of the CJEU of May 12, 2022, concerning a request for a preliminary ruling in Case C-377/20 Servizio Electrico Nazionale SpA, paragraph 84. (ECLI:EU:C: 2022:379).  </w:t>
        <w:br/>
        <w:t xml:space="preserve">Comisión Nacional de los Mercados y la Competencia 66 de 110  </w:t>
        <w:br/>
        <w:t xml:space="preserve">C/ Alcalá, 47 – 28014 Madrid - C/ Bolivia, 56 – 08018 Barcelona  </w:t>
        <w:br/>
        <w:t>www.cnmc.es</w:t>
      </w:r>
    </w:p>
    <w:p>
      <w:r>
        <w:rPr>
          <w:b/>
        </w:rPr>
        <w:t>[Pages 67–69]</w:t>
      </w:r>
    </w:p>
    <w:p>
      <w:r>
        <w:t xml:space="preserve">S/0003/23  </w:t>
        <w:br/>
        <w:t xml:space="preserve">LUMINORA  </w:t>
        <w:br/>
        <w:t xml:space="preserve">judgment of January 30, 2020, Generics (UK) and others, C-307/18, EU:C:2020:52, paragraph 165]”.  </w:t>
        <w:br/>
        <w:t xml:space="preserve">(246) Likewise, this judgment recalls that the conduct of the dominant company cannot hinder the entry of competitors205: “while companies in a dominant position may defend themselves against their competitors, they must do so by resorting to means inherent to 'normal' competition, that is, based on merits. On the other hand, these companies cannot hinder the penetration or maintenance in the market in question of equally efficient competitors by resorting to means that are not inherent to competition based on merits. In particular, they must refrain from using their dominant position to expand their presence in another market by means other than those based on merits (see, in this regard, the judgments of October 3, 1985, CBEM, 311/84, EU:C:1985:394, paragraph 25; of November 14, 1996, Tetra Pak/Commission, C-333/94 P, EU:C:1996:436, paragraph 25, and of February 17, 2011, TeliaSonera Sverige, C-52/09, EU:C:2011:83, paragraph 87).”  </w:t>
        <w:br/>
        <w:t xml:space="preserve">(247) As numerous community jurisprudence refers, the abusive exploitation of a dominant position prohibited by Article 102 TFEU (and, therefore, Article 2 of the LDC) is an objective concept206, which does not prevent taking into account the intent when it is proven that the dominant operator had precisely the objective of hindering competition, as established by the judgment of the CJEU of March 16, 2000207.  </w:t>
        <w:br/>
        <w:t xml:space="preserve">(248) More recently, the Union jurisprudence in the aforementioned case, Servizio Elettrico Nazionale208, has confirmed that to determine the existence of an abusive practice, what must be assessed is the capacity of that practice to limit competition and, in particular, to produce the exclusionary effect209: “On the other hand, to apply that qualification, it is sufficient that this practice has had, during the period in which it has been executed, the capacity to produce an exclusion effect on competitors at least as efficient as the company that is in a dominant position (see, in this regard, 205 Judgment of the CJEU of May 12, 2022, which concerns a request for a preliminary ruling in Case C-377/20 Servizio Elettrico Nazionale SpA, paragraphs 75 and 76. (ECLI:EU:C:2022:379).  </w:t>
        <w:br/>
        <w:t xml:space="preserve">206 Judgments of January 30, 2020, Generics (UK) and others, C-307/18, EU:C:2020:52, paragraph 148, and of March 25, 2021, Deutsche Telekom/Commission, C-152/19 P, EU:C:2021:238, paragraph 41.  </w:t>
        <w:br/>
        <w:t xml:space="preserve">207 Judgment of the CJEU of March 16, 2000 (joined cases C-395/96 P and C-396/96 P Compagnie Maritime Belge) (ECLI:EU:C:2000:132).  </w:t>
        <w:br/>
        <w:t xml:space="preserve">208 Judgment of the CJEU of May 12, 2022, which concerns a request for a preliminary ruling in Case C-377/20 Servizio Elettrico Nazionale SpA, paragraph 64. (ECLI:EU:C:2022:379).  </w:t>
        <w:br/>
        <w:t xml:space="preserve">209 Judgment of the CJEU of May 12, 2022, which concerns a request for a preliminary ruling in Case C-377/20 Servizio Elettrico Nazionale SpA, paragraphs 70 and following. (ECLI:EU:C:2022:379).  </w:t>
        <w:br/>
        <w:t xml:space="preserve">Comisión Nacional de los Mercados y la Competencia 67 de 110  </w:t>
        <w:br/>
        <w:t xml:space="preserve">C/ Alcalá, 47 – 28014 Madrid - C/ Bolivia, 56 – 08018 Barcelona  </w:t>
        <w:br/>
        <w:t>www.cnmc.es</w:t>
      </w:r>
    </w:p>
    <w:p>
      <w:r>
        <w:t xml:space="preserve">S/0003/23  </w:t>
        <w:br/>
        <w:t xml:space="preserve">LUMINORA  </w:t>
        <w:br/>
        <w:t xml:space="preserve">the judgment of October 6, 2015, Post Danmark, C-23/14, EU:C:2015:651, paragraph 66 and cited jurisprudence). Given that the abusive nature of a practice does not depend on the form it takes or took, but rather that such practice has or had the capacity to limit competition, and, in particular, to produce, with its application, the exclusionary effects attributed to it, this requirement must be assessed in light of all relevant factual circumstances [see, in this regard, the judgments of January 30, 2020, Generics (UK) and others, C-307/18, EU:C:2020:52, paragraph 154, and of March 25, 2021, Slovak Telekom/Commission, C-165/19 P, EU:C:2021:239, paragraph 42]”.  </w:t>
        <w:br/>
        <w:t xml:space="preserve">(249) Consequently, it is necessary to determine whether, in light of these general principles applied to the specific proven facts, LUMINORA has abused the privileged position conferred by its status as IUN in the market for access and connection to the electricity transmission network at the FAUSITA 400 kV node, through a discriminatory exercise of its special rights towards third-party competitors, causing their exclusion, whether temporary, from the market for access to the transmission network at that node.  </w:t>
        <w:br/>
        <w:t xml:space="preserve">5.4.3.4. Application to the case  </w:t>
        <w:br/>
        <w:t xml:space="preserve">5.4.3.4.1. Discriminatory abuse  </w:t>
        <w:br/>
        <w:t xml:space="preserve">(250) As reflected in the proven facts and concluded by the SSR, from the perspective of the electricity sector regulations, LUMINORA engaged in “reprehensible” conduct in order to “secure complete access to the node while preventing the entry of third parties,” among other means, through “legally unjustified demands” directed at SHARK POWER in the processing of its access requests. The above was such that, to correct this discrimination and “ensure non-discriminatory access among all facilities that had requested access,” the SSR determined that only “a new and unique joint access request that included the facilities of LUMINORA and those of SHARK POWER” could be accepted, with compliance with the resolution needing to be monitored “in light of LUMINORA's conduct” (paragraphs (169) and (170)).  </w:t>
        <w:br/>
        <w:t xml:space="preserve">(251) It is appropriate to analyze next whether this discriminatory conduct of LUMINORA meets the necessary elements to be classified as discriminatory abuse, in the terms set forth by Article 2.2.(d) of the LDC.  </w:t>
        <w:br/>
        <w:t xml:space="preserve">a) Equivalent performances  </w:t>
        <w:br/>
        <w:t xml:space="preserve">(252) The access requests to the electricity transmission network submitted by the different promoters to the IUN can be considered similar, not differing in essence, as they must comply with the same technical, economic (submission of guarantees), and administrative procedures, and moreover, they are carried out in the same product and geographical market210, i.e., the market for access and connection to the transmission network at the FAUSITA 400 kV node, with effects in the related market of electricity generation. Consequently, the access requests to the network submitted by SHARK POWER and LUMINORA, in this comparable commercial context, are equivalent, substitutable, and close in time211.  </w:t>
        <w:br/>
        <w:t xml:space="preserve">(253) Regarding this equivalent nature, as noted in paragraph (134), it was the system regulator itself, REE, who, in accordance with the nature of the newly planned position of the FAUSITA 400 kV node, under the application of the fourth additional provision of Royal Decree-Law 15/2018, considered that the different individual access requests submitted by LUMINORA and its competing promoters were part of the same “reference perimeter” (reference perimeter as of July 27, 2020) and, therefore, should be integrated into the same SCA.  </w:t>
        <w:br/>
        <w:t xml:space="preserve">(254) Therefore, in a competitive context, regarding equivalent performances, all those complete and contemporaneous requests should have been processed by the IUN according to the principle of temporal precedence until the capacity of the FAUSITA 400 kV node was exhausted, that is, the request from SHARK POWER of June 3, 2020, and that of LUMINORA on June 24, 2020212.  </w:t>
        <w:br/>
        <w:t xml:space="preserve">(255) LUMINORA believes it acted correctly as the requests from SHARK POWER and LUMINORA should not be processed jointly as they were not all “complete and contemporaneous requests.” And this for several reasons: (i) The Resolution of its designation as IUN clearly indicated that LUMINORA should submit a coordinated access request that included only the “accepted requests,” that is, only those of LUMINORA (ii) and, if LUMINORA did not include the facilities of SHARK POWER in SCA2 and SCA3, despite having received the burofax from SHARK POWER on August 25, 2020, and the communication from REE on September 18, 2020, it was solely and exclusively because SHARK POWER did not send the necessary technical information and documentation.  </w:t>
        <w:br/>
        <w:t xml:space="preserve">210 See Case COMP/A.38763/D2, Sequential Use Of Coupons.  </w:t>
        <w:br/>
        <w:t xml:space="preserve">211 See, Case C-52/07 Kanal 5 Ltd and TV 4 AB v Föreningen Svenska Tonsättares Internationella Musikbyrå (STIM) upa. [2008] ECR I-9275., paragraph 109: “There is unequal treatment for equivalent performances when there is no correspondence between the value of the performance and that of the consideration based on the various contractors. Thus, the referring court must examine whether STIM requires unequal remuneration for equivalent performances.”  </w:t>
        <w:br/>
        <w:t xml:space="preserve">212 Case C-525/16 MEO—Serviços de Comunicações e Multimédia SA v Autoridade da Concorrência, paragraph 57: “As can be inferred from the case law, the equivalence of operations must be determined taking into account all existing conditions in the market. (11) Among those conditions is, in particular, a temporal element since the price set for the provision of a certain service may vary over time, in light of market conditions and the criteria used for its determination. In other words, the circumstance that the performances are carried out at different times may make the operations not equivalent.”  </w:t>
        <w:br/>
        <w:t xml:space="preserve">Comisión Nacional de los Mercados y la Competencia 69 de 110  </w:t>
        <w:br/>
        <w:t xml:space="preserve">C/ Alcalá, 47 – 28014 Madrid - C/ Bolivia, 56 – 08018 Barcelona  </w:t>
        <w:br/>
        <w:t>www.cnmc.es</w:t>
      </w:r>
    </w:p>
    <w:p>
      <w:r>
        <w:rPr>
          <w:b/>
        </w:rPr>
        <w:t>[Pages 70–72]</w:t>
      </w:r>
    </w:p>
    <w:p>
      <w:r>
        <w:t xml:space="preserve">S/0003/23  </w:t>
        <w:br/>
        <w:t xml:space="preserve">LUMINORA  </w:t>
        <w:br/>
        <w:t xml:space="preserve">(256) LUMINORA states that it only included its own applications and those of SOLTEC in the first SCA, because, in light of the content of the Resolution of its appointment as IUN, it understood that it should only submit the "accepted applications," with the resolution indicating ALLEANS' application as "not accepted" and SHARK POWER's as "under analysis." According to LUMINORA, the resolution of its designation as IUN made no mention of a "reference perimeter," nor did it expressly indicate that it should not include ALLEANS' plants in the coordinated access request while including those of SHARK POWER, concluding that the IUN's obligation was to include the "accepted applications"213 in the coordinated access request, without, as LUMINORA indicates, receiving instructions from REE to the contrary.  </w:t>
        <w:br/>
        <w:t xml:space="preserve">(257) As has been explained throughout this Resolution, LUMINORA, in its capacity as IUN, had the obligation to jointly and coordinately submit all access requests to the FAUSITA 400 kV node submitted within the time limit set by REE (July 20, 2020), as corresponds to a newly planned position. On that date, the SSR's Resolution noted that the only two applications that could be processed were those of SHARK POWER and LUMINORA. Any other assessment regarding the content and form of the applications was exclusively the responsibility of REE.  </w:t>
        <w:br/>
        <w:t xml:space="preserve">(258) Therefore, the non-inclusion of SHARK POWER's application, which was even prior to LUMINORA's, represented an unjustified and discriminatory differential treatment by LUMINORA, as warned by the SSR's Resolution of July 8, 2021: "An IUN is not and cannot be, in any case, the one that decides to postpone a clearly prior application, which is what LUMINORA is doing in this case."  </w:t>
        <w:br/>
        <w:t xml:space="preserve">(259) LUMINORA justifies not having included it in the subsequent SCAs because SHARK POWER did not send the complete documentation and application necessary to prepare the corresponding SCA, as would be required by REE in its guidelines214 and the CNMC in CFT/DE/114/19215. Furthermore, it states that SHARK POWER did not contact the person designated by LUMINORA to perform the functions of the IUN, whose contact details were published on REE's website, and considered it sufficient to contact LUMINORA informally without providing the relevant and necessary technical information and documentation. This was indicated by REE in its allegations regarding the access conflict216: "not having attended to the request made by RED ELÉCTRICA on 09/18/2020 -neither by the Applicants who have not sent their access request to the IUN, nor by the IUN who has not sent a coordinated request integrating the requests of the Applicants."  </w:t>
        <w:br/>
        <w:t xml:space="preserve">(260) LUMINORA cannot argue that the exclusion of SHARK POWER was justified due to SHARK POWER not having sent the information of its application to the IUN. As stated in the SSR's resolution of July 8, 2021: "The untimely requirement by LUMINORA to demand that the already formulated application be sent to him is an evident obstacle to the exercise of the right of access to the network, especially when the objective is to include it in a subsequent application to that of LUMINORA's own installations. Undoubtedly, LUMINORA not only exceeds the functions of the IUN but also uses its position to advance its applications over those of SHARK POWER."  </w:t>
        <w:br/>
        <w:t xml:space="preserve">(261) Consequently, this Chamber disagrees with LUMINORA's interpretation of the facts. As reflected in the proven facts and concluded by the SSR in its Resolution of July 8, 2021, regarding the access conflict CFT/DE/134/20, LUMINORA decided to take advantage of the ignorance of the other promoters regarding its designation as IUN to submit a first SCA, on the same day of its appointment (July 28, 2020) solely with its applications and those of the group to which it belongs, violating the reference perimeter set by REE as corresponds to the IUN in this type of new positions at the FAUSITA 400 kV node, in order to ensure complete access to the node against third parties (paragraphs (168).  </w:t>
        <w:br/>
        <w:t xml:space="preserve">(262) LUMINORA did not wait for its appointment as IUN to be published on REE's website and a few hours after receiving the resolution of its designation proceeded to submit SCA1, which included only the installations of LUMINORA itself, so that the other interested promoters were unaware of the existence of an IUN to which they should direct their access requests. In any case, and contrary to what LUMINORA claims, in the IUN designation document217 in which the list of promoters with submitted access requests appears, LUMINORA cannot ignore that 11 of the 12 requests from SHARK POWER were "under analysis" and not as "Not Accepted" (as was the case with ALLEANS' application).  </w:t>
        <w:br/>
        <w:t xml:space="preserve">(263) However, since these requests had been included by REE in the reference perimeter and were listed in the Resolution of its designation as IUN, LUMINORA failed to fulfill its obligation as IUN to include the requests identified by REE in that reference perimeter, as well as to contact the applicants before submitting the first SCA, as stated in the SSR's Resolution of July 8, 2021 resolving the Access Conflict CFT/DE/134/20:218 "It has been said on several occasions that the reference perimeter is only the preliminary step to the formulation of the first coordinated access request and that once delineated, the IUN must contact all access applicants listed in that perimeter, whether or not they have confirmation of guarantees" (emphasis added)219.  </w:t>
        <w:br/>
        <w:t xml:space="preserve">(264) Moreover, LUMINORA not only failed to contact the applicants, but despite having been warned of the need to include their installations in the SCA by SHARK POWER—by phone on July 30, 2020, and by means of the burofax that LUMINORA effectively received on August 25, 2020—on August 29, 2020, it submitted a second SCA, ignoring the access requests of SHARK POWER and violating the reference perimeter set by REE as reflected in the resolution through which it was appointed as IUN by the Government of Murcia (paragraph (134)).  </w:t>
        <w:br/>
        <w:t xml:space="preserve">(265) LUMINORA also ignored REE, which expressly rejected this second SCA and urged in its communication of September 18, 2020, to the IUN to include SHARK POWER's application along with LUMINORA's, despite the fact that, as clarified by the SSR's Resolution of July 8, 2021, as IUN, "LUMINORA cannot refuse to comply with the instructions of the network manager." However, with full knowledge, LUMINORA decided, against REE's indications, that only its applications and those of its business group met the requirements to request access to the transport network, when it is exclusively REE, as the network manager, that has the authority to request its proper rectification. As stated in the SSR's Resolution of the reference conflict: "the conduct of LUMINORA, subsequent to REE's rectification, is not justified; on the contrary, it can be understood as a case of taking advantage of the condition of the IUN" (emphasis added).  </w:t>
        <w:br/>
        <w:t>(266) Furthermore, as the SSR was able to verify in the context of the reference conflict, SHARK POWER did not send the corresponding documentation for its application218.</w:t>
      </w:r>
    </w:p>
    <w:p>
      <w:r>
        <w:rPr>
          <w:b/>
        </w:rPr>
        <w:t>[Pages 73–75]</w:t>
      </w:r>
    </w:p>
    <w:p>
      <w:r>
        <w:t xml:space="preserve">S/0003/23  </w:t>
        <w:br/>
        <w:t xml:space="preserve">LUMINORA  </w:t>
        <w:br/>
        <w:t xml:space="preserve">request to the IUN, precisely, to avoid "the consolidation of the situation that could have occurred," that is, the acceptance of its exclusion from the first SCA.  </w:t>
        <w:br/>
        <w:t xml:space="preserve">(267) According to LUMINORA, REE was fully aware to assess whether the first SCA had been correctly submitted, so LUMINORA lacked the capacity to deceive REE, unlike the request from another interested promoter, such as DRES, of which REE could only have knowledge through the IUN by having LUMINORA include it in the second SCA. Therefore, according to LUMINORA, the first SCA1 was not intended to alter the temporal priority of the requests, among other reasons, because it would have been impossible, as subsequent actions by REE would demonstrate.  </w:t>
        <w:br/>
        <w:t xml:space="preserve">(268) Indeed, the temporal priority and the reference perimeter established by REE could not be altered by LUMINORA. But there is no doubt that LUMINORA had sufficient autonomy to hinder REE's action, as stated in the SSR Resolution of July 8, 2021, LUMINORA's action in the first SCA: "only aims to create the appearance that SHARK POWER's request is subsequent to its own, when in fact it is the opposite" (emphasis added).  </w:t>
        <w:br/>
        <w:t xml:space="preserve">(269) Subsequently, by acting against REE's explicit criterion in its request of September 18, 2020, by submitting a third SCA on October 14, 2020, contrary to what LUMINORA claims, that only the system operator can pronounce on the projects submitted by the IUN, the SSR Resolution of July 8, 2021 indicates that it forced "REE not to resolve the coordinated access request raised by the IUN."  </w:t>
        <w:br/>
        <w:t xml:space="preserve">(270) As stated in the operational guidelines of REE, mentioned in the SSR Resolution of CFT/DE/114/19 and referred to by LUMINORA in its written allegations220, it states that: "the law establishes the regime for granting and denying under exclusively technical criteria, corresponding its responsibility and exercise exclusively to the system operator and manager of the transport network," so the "IUN must limit itself to verifying whether the access request submitted meets the formal requirements, among them, the deposit of the guarantee. Therefore, there is no reason for the IUN to exclude from the joint and coordinated processing a specific request that formally, as was the case, was complete. No IUN can replace REE by issuing requests for rectification unrelated to formal issues" 221.  </w:t>
        <w:br/>
        <w:t xml:space="preserve">220 See, for example, paragraph 328 of LUMINORA's allegations to the Proposal for Resolution.  </w:t>
        <w:br/>
        <w:t xml:space="preserve">221 SSR Resolution of the CNMC of July 22, 2020, CFT/DE/114/19.  </w:t>
        <w:br/>
        <w:t xml:space="preserve">S/0003/23  </w:t>
        <w:br/>
        <w:t xml:space="preserve">LUMINORA  </w:t>
        <w:br/>
        <w:t xml:space="preserve">(271) Precisely, in the context of the conflict CFT/DE/134/20, REE claimed not to have responded to any access request because LUMINORA had not attended to its request of September 18, 2020: "In light of the above, since the request made by RED ELÉCTRICA on 09/18/2020 has not been attended to – neither by the Applicants who have not submitted their access request to the IUN, nor by the IUN that has not submitted a coordinated request integrating the requests of the Applicants – and in view of the existence of the present access conflict raised by SPR before the CNMC for the connection at FAUSITA 400 kV, we inform that RED ELÉCTRICA has not responded to any of the requests granting or denying access permission, understanding that this situation of processing existing at the FAUSITA 400 kV node must be resolved beforehand by that CNMC."  </w:t>
        <w:br/>
        <w:t xml:space="preserve">(272) From the account of the facts, it follows that this request of September 18, 2020, from REE was sent to LUMINORA, as IUN, and that it was disregarded, with LUMINORA submitting a third SCA on October 14, 2020, only with its facilities, despite knowing, at least since October 5, 2020, that SHARK POWER had submitted an access conflict before the CNMC (on August 31) that suspended the processing of the access procedure.  </w:t>
        <w:br/>
        <w:t xml:space="preserve">b) Unequal conditions  </w:t>
        <w:br/>
        <w:t xml:space="preserve">(273) Since the creation of the IUN figure, the Energy Directorate has identified three types of conduct in which the IUN acts with total autonomy from the other promoters from the dominant position conferred by this condition of necessary processor222.  </w:t>
        <w:br/>
        <w:t xml:space="preserve">(274) The first type in which the IUN has arrogated a competence that does not correspond to it: that of analyzing the access requests received. In these cases, the IUN has required the rectification of the documentation submitted along with the individual request, deliberately delaying the forwarding of that request to REE.  </w:t>
        <w:br/>
        <w:t xml:space="preserve">(275) A second type, more common, in which the IUN has not processed or has deliberately withdrawn the request of another promoter, in order to exclude it from a specific coordinated access request, in which the facilities promoted by the IUN itself are included.  </w:t>
        <w:br/>
        <w:t xml:space="preserve">(276) And a third type, in which the IUN, upon knowing and/or promoting a modification of the planning that entails the opening of a new position, makes use of this privileged information to request access to that new, unplanned position, for its own benefit and to the detriment of third parties.  </w:t>
        <w:br/>
        <w:t xml:space="preserve">222 Report dated November 4, 2019, sent by the Energy Directorate at the request of the Competition Directorate in the file S/0022/20 ENEL GREEN POWER ESPAÑA and incorporated into the reference file by means of testimony deduction (folios 1240 to 1251).  </w:t>
        <w:br/>
        <w:t xml:space="preserve">S/0003/23  </w:t>
        <w:br/>
        <w:t xml:space="preserve">LUMINORA  </w:t>
        <w:br/>
        <w:t xml:space="preserve">(277) From the actions carried out by LUMINORA, in its dual capacity as IUN and promoter, it is deduced that, taking advantage of the dominant position conferred by that condition, it violated the principle of temporal priority in the configuration and submission of the SCAs, offering unequal conditions to the requests of third promoters outside the business group to which LUMINORA belongs, but who, like its projects, aspired to access the same FAUSITA 400 kV node.  </w:t>
        <w:br/>
        <w:t xml:space="preserve">(278) The SSR resolution of July 8, 2021, in the context of CFT/DE/134/20 reproached that LUMINORA's rapid action aimed to alter the validity of the principle of temporal priority in the exercise of the right of access to the node of the electricity transport network: "Secondly, LUMINORA submitted an access request only with its facilities on July 28, 2020, before the publication on the web of its designation as IUN and without taking into account the existence of other facilities that were reflected in the resolution of the Autonomous Community. It is evident that its rapid action aimed to guarantee it complete access to the node, avoiding the entry of third parties" 223 (emphasis added).  </w:t>
        <w:br/>
        <w:t xml:space="preserve">(279) Thus, before the publication on the web of its designation as IUN on July 30, 2020, and knowing of the existence of a reference perimeter that included other facilities, as reflected in the resolution of the Autonomous Community regarding the designation of the IUN of July 27, 2020, LUMINORA submitted a first coordinated access request (SCA1) on July 28, 2020, violating the principle of temporal priority of the individual access requests by including only its own and not those of the competitor SHARK POWER, which had been submitted prior to its own.  </w:t>
        <w:br/>
        <w:t xml:space="preserve">(280) Likewise, in the SSR resolution, it was stated that LUMINORA's subsequent conduct was also reproachable: "LUMINORA's subsequent attitude is likewise reproachable. Its legally unjustified demand that SHARK POWER directly transfer a request to him as IUN, unaware that he had already requested it from REE on June 3, 2020, only aims to create the appearance that SHARK POWER's request is subsequent to his, when in fact it is the opposite"224 (emphasis added).  </w:t>
        <w:br/>
        <w:t xml:space="preserve">(281) This demand, legally unjustified, that SHARK POWER directly transfer its individual request to him, knowing that he had already sent it to REE on June 3, 2020, aimed to arrogate a priority 223 See the SSR Resolution of July 8, 2021, of the access conflict CFT/DE/134/20 (Page 15).  </w:t>
        <w:br/>
        <w:t>224 See the SSR Resolution of July 8, 2021, of the access conflict CFT/DE/134/20 (Page 16).</w:t>
      </w:r>
    </w:p>
    <w:p>
      <w:r>
        <w:rPr>
          <w:b/>
        </w:rPr>
        <w:t>[Pages 76–78]</w:t>
      </w:r>
    </w:p>
    <w:p>
      <w:r>
        <w:t xml:space="preserve">S/0003/23  </w:t>
        <w:br/>
        <w:t xml:space="preserve">LUMINORA  </w:t>
        <w:br/>
        <w:t xml:space="preserve">non-existent temporary. Moreover, the IUN could not refuse to comply with the instructions of the network manager, claiming that it was unaware of the existence of prior access requests from SHARK POWER, as its facilities were recorded since the communication of July 20, 2020, from REE and in the resolution of the Region of Murcia of July 27, 2020, which designated LUMINORA as IUN:  </w:t>
        <w:br/>
        <w:t xml:space="preserve">"An IUN is not and cannot be, in any case, the one that decides to postpone a clearly prior request, which is what LUMINORA is doing in this case.  </w:t>
        <w:br/>
        <w:t xml:space="preserve">Furthermore, LUMINORA cannot claim that it was unaware of the existence of SHARK POWER's request. REE communicated all access requests to the Autonomous Community on July 20, 2020. The Resolution of the Autonomous Community of July 27, 2020, which has been provided by both LUMINORA and REE, clearly shows that on that day there were two individual requests, one with confirmation of guarantees and another, at least with the confirmation of the guarantees under analysis” 225.  </w:t>
        <w:br/>
        <w:t xml:space="preserve">(282) On July 30, 2020, being publicly designated as IUN, and having received communication from SHARK POWER, both in writing and by phone to take into account its facilities that had already been known by REE, LUMINORA continued to ignore the priority of that request when including it in an SCA.  </w:t>
        <w:br/>
        <w:t xml:space="preserve">(283) Consequently, the discriminatory treatment carried out by LUMINORA between July 28, 2020, and July 8, 2021, violating the principle of temporal priority in the processing of individual access requests to the FAUSITA 400 kV node, particularly regarding SHARK POWER, was manifest and repeated.  </w:t>
        <w:br/>
        <w:t xml:space="preserve">(284) Even with full knowledge of SHARK POWER's request, on August 29, 2020, when LUMINORA submitted SCA2, it not only excluded SHARK POWER's facilities again but also included those of other promoters who, unlike SHARK POWER's, did not meet the necessary requirements.  </w:t>
        <w:br/>
        <w:t xml:space="preserve">(285) For all the above, LUMINORA applied unequal conditions in the treatment of the requests submitted by its competitor SHARK POWER, compared to the requests promoted by its business group: initially presenting only its access request to REE taking advantage of the privileged knowledge of its designation as IUN, and then repeatedly refusing without objective justification to include SHARK POWER's facilities in subsequent requests.  </w:t>
        <w:br/>
        <w:t xml:space="preserve">(286) As LUMINORA argues in its allegations, the fact that SHARK POWER considered it sufficient to contact LUMINORA informally and through channels other than those established would demonstrate the absence of good faith on the part of SHARK POWER, which expected to receive preferential treatment compared to other promoters from the IUN. LUMINORA argues that it could not include SHARK POWER's facilities in SCA2 without having a formal notification and the necessary documentation and information to complete the SCA; otherwise, it would have incurred in discriminatory treatment regarding the other operators. LUMINORA claims that SHARK POWER could not conclude that, had it sent the documentation required by LUMINORA, it would not have been included in an SCA. To support this thesis, LUMINORA points out that, in order to comply with what was agreed by the CNMC in the SSR Resolution of conflict CFT/DE/0134/20, SHARK POWER sent an email to LUMINORA with all the necessary and required information and documentation in the applicable regulations, which allowed the submission of a coordinated access request.  </w:t>
        <w:br/>
        <w:t xml:space="preserve">(287) In response to such allegations, it is appropriate to refer again to the firm resolution of July 8, 2021, which resolves the conflict CFT/DE/134/20. The SSR, the body best positioned to assess the conduct of the various actors involved in the access procedure, under the prism of the regulation of the electricity sector, at no time questions the conduct of SHARK POWER referred to by LUMINORA. On the contrary, the SSR justifies the aforementioned conduct of SHARK POWER to "avoid the consolidation of the situation that could have arisen from submitting its request to the IUN" and sanctions LUMINORA's conduct for requesting the documentation in question. The SSR states textually in this regard that "it is obvious that such an interpretation cannot be shared," referring to LUMINORA's assertion that "once designated IUN, it is up to him and not to REE, and therefore, his action is correct and that SHARK POWER's access request must be directed to him to be processed," with LUMINORA's requirement being "legally unjustified."  </w:t>
        <w:br/>
        <w:t xml:space="preserve">(288) LUMINORA was fully aware of SHARK POWER's access request to the network of SHARK POWER's facilities, as this company was within the reference perimeter defined by the system operator since July 27, 2020, and chose not to take it into account. LUMINORA continued to ignore this request despite SHARK POWER requesting that it include its facilities alongside those of LUMINORA and even continued to ignore it after being requested to do so by REE itself. In fact, as has been seen, LUMINORA rejected REE's request twice and ended up submitting a third SCA that excluded SHARK POWER's facilities, including only its own.  </w:t>
        <w:br/>
        <w:t xml:space="preserve">(289) Therefore, and as expressly derived from the resolution of access conflict CFT/DE/134/20, without LUMINORA having provided, within the framework of the present sanctioning file, evidence that allows to refute the conclusions of the SSR, this Chamber considers that it cannot be maintained that LUMINORA acted with the due responsibility in complying with the principles of equality, transparency, and non-discrimination that must guide the IUN in its actions as coordinator of the access requests to the transport network node submitted by the various promoters competing for its limited capacity.  </w:t>
        <w:br/>
        <w:t xml:space="preserve">(290) LUMINORA also argues that, in no case could it alter the temporal priority to create the appearance that SHARK POWER's request was subsequent to its own since REE had all the information. REE's communication of September 18, 2020, would prove LUMINORA's lack of ability to achieve the alleged alteration of the temporal priority of the requests.  </w:t>
        <w:br/>
        <w:t xml:space="preserve">(291) It must again be pointed out that the function of the IUN should only be to process, where appropriate, jointly, the access requests included in a reference perimeter for analysis by REE, which, if it had observed the lack of some of the "Data to be included in the access request to the transport network for distribution and consumption network facilities"226, would have required its correction from the promoter in question, in this case, SHARK POWER. As stated in the SSR Resolution of July 22, 2020, within the framework of CFT/DE/114/19227: "No IUN can replace REE by issuing requests for corrections unrelated to formal issues," despite LUMINORA attempting to base its actions on this CFT as being in accordance with the law.  </w:t>
        <w:br/>
        <w:t xml:space="preserve">c) Competitive Disadvantage  </w:t>
        <w:br/>
        <w:t xml:space="preserve">(292) As the SSR warns in the resolution of access conflict CFT/DE/134/20228, the unequal treatment provided by LUMINORA aimed to exclude SHARK POWER's facilities from access to the FAUSITA 400kV node, generating a competitive disadvantage for the latter. LUMINORA and SHARK POWER are direct competitors229 in the market for access and connection to the electricity transport network due to the available capacity at the FAUSITA 400 kV node. Thus, the discrimination carried out by LUMINORA, prioritizing its projects in the SCAs submitted, had, at the very least, the capacity to generate a competitive advantage in that market with potential impact on the related market of electricity generation.  </w:t>
        <w:br/>
        <w:t xml:space="preserve">226 Annex 4 of the Resolution of February 11, 2005, of the General Secretariat of Energy, provided by LUMINORA as an Annex to its allegations to the PCH (folios 1442 to 1445).  </w:t>
        <w:br/>
        <w:t xml:space="preserve">227 Resolution of the SSR of the CNMC of July 22, 2020, CFT/DE/114/19.  </w:t>
        <w:br/>
        <w:t xml:space="preserve">228 "It is evident that its rapid action aimed to guarantee it complete access to the node, avoiding the entry of third parties."  </w:t>
        <w:br/>
        <w:t>229 Case C-52/07 Kanal 5 Ltd and TV 4 AB v Föreningen Svenska Tonsättares Internationella Musikbyrå (STIM) upa. [2008] ECR I-9275</w:t>
      </w:r>
    </w:p>
    <w:p>
      <w:r>
        <w:rPr>
          <w:b/>
        </w:rPr>
        <w:t>[Pages 79–81]</w:t>
      </w:r>
    </w:p>
    <w:p>
      <w:r>
        <w:t xml:space="preserve">S/0003/23  </w:t>
        <w:br/>
        <w:t xml:space="preserve">LUMINORA  </w:t>
        <w:br/>
        <w:t xml:space="preserve">(293) Had the access conflict not been presented to the Energy Directorate of the CNMC, this competitive disadvantage would have prevented SHARK POWER from accessing the electricity transmission network at the FAUSITA 400 kV node230 and, in any case, LUMINORA's abusive conduct in exercising its functions as IUN significantly delayed the granting of access to SHARK POWER from its first request submitted to REE on June 3, 2020.  </w:t>
        <w:br/>
        <w:t xml:space="preserve">(294) As the proven facts reflect and the SSR of the CNMC expressly stated in its Resolution of July 8, 2021, LUMINORA exceeded its functions as IUN, granting discriminatory treatment to SHARK POWER by systematically excluding equivalent projects of SHARK POWER in the access SCAs submitted to REE231.  </w:t>
        <w:br/>
        <w:t xml:space="preserve">(295) The previous Resolution established that non-discriminatory access could only be ensured through a new and unique coordinated and joint access request that included both LUMINORA's and SHARK POWER's facilities:  </w:t>
        <w:br/>
        <w:t xml:space="preserve">"All these considerations lead to the conclusion that the estimation of this conflict entails ensuring non-discriminatory access among all facilities that had requested individual access to REE in relation to the new position of the FAUSITA 400 kV node before the closure of the reference perimeter, without it being appropriate to give priority to SHARK POWER's requests over those of LUMINORA, even if temporarily earlier because the delimitation of the reference perimeter as of July 20, 2020, by REE was correct, except for its error regarding the confirmation of the proper establishment of the guarantees"232.  </w:t>
        <w:br/>
        <w:t xml:space="preserve">(296) LUMINORA argues that its actions as IUN were not capable of hindering SHARK POWER's entry, and rejects that the SSR's Resolution of the Conflict corrected a competitive disadvantage caused by the alleged unequal conditions applied by LUMINORA, since REE, through its communication of September 18, 2020, indicated to LUMINORA and SHARK POWER, even before being aware of the access conflict, the same as the SSR's Resolution of the Conflict: that the IUN must submit a coordinated access request that included the facilities promoted by both companies. Furthermore, LUMINORA reiterates that REE did not even accept SCA1 and that if LUMINORA did not include SHARK POWER's facilities in SCA2 and SCA3, it was solely and exclusively because SHARK POWER did not send it the information and technical documentation. According to its allegations, LUMINORA acted with total transparency by informing REE of this specific problem. In this regard, the accused company maintains that, although it could have expressed a different opinion in the allegations sent to REE, it never refused to comply with its instructions.  </w:t>
        <w:br/>
        <w:t xml:space="preserve">(297) Thus, LUMINORA concludes that the elements of discriminatory abuse would not be present, nor can it be considered that there were equivalent performances, nor that LUMINORA applied unequal conditions to such equivalent performances, nor that the alleged unequal conditions could lead to competitive disadvantages for SHARK POWER.  </w:t>
        <w:br/>
        <w:t xml:space="preserve">(298) This Chamber must emphasize that LUMINORA's treatment of the access and connection requests to the FAUSITA 400 kV node submitted by the different promoters, against the express notifications and actions of the system operator, violating the principles of equality, transparency, and non-discrimination was solely and exclusively the consequence of LUMINORA's conduct, which took advantage of its status as IUN at that node to ensure access of its facilities to the full capacity of the node as reflected in the SSR's Resolution of July 8, 2021, which resolves CFT/DE/0134/20.  </w:t>
        <w:br/>
        <w:t xml:space="preserve">(299) All of the above allows us to conclude that LUMINORA, as IUN of the FAUSITA 400 kV node, provided discriminatory treatment to the individual access requests of third competitors in the sense of Article 2.2(d) of the LDC. This resulted in a significant competitive advantage in that market, as well as, potentially, in the vertically related market of electricity generation.  </w:t>
        <w:br/>
        <w:t xml:space="preserve">5.4.3.4.2. Exclusionary Abuse  </w:t>
        <w:br/>
        <w:t xml:space="preserve">(300) LUMINORA not only abused that dominant position as IUN, acting discriminatorily without any objective justification, but also, its conduct could lead to the exclusion of its competitors, since the intended result of this discriminatory conduct by LUMINORA was that its plants or projects could obtain access to the transmission network at that node as part of the submitted SCAs, leaving SHARK POWER's facilities outside the SCAs submitted to REE.  </w:t>
        <w:br/>
        <w:t xml:space="preserve">(301) Thus, at the FAUSITA 400 kV node, LUMINORA's abusive conduct resulted, as stated in paragraph (150) of this Resolution, in that the individual access request of SHARK POWER's facilities could not be submitted to REE as part of an SCA to access the transmission network at that node, as LUMINORA refused to include them in the coordinated access requests. In such a way that, had the access conflict not been raised, SHARK POWER's projects would not have been taken into account by REE, having been excluded from access to the FAUSITA 400 kV node and consequently, from the related generation market as the electricity produced by those facilities could not be fed into the transmission network.  </w:t>
        <w:br/>
        <w:t xml:space="preserve">(302) In addition to excluding SHARK POWER from the first SCA it submitted to REE, LUMINORA ignored the indications of the network manager who first urged it, on September 18, 2020, to submit an SCA in accordance with the definition of the reference perimeter and then, on October 20, 2020, to suspend the processing of any request until the access conflict raised by SHARK POWER was resolved.  </w:t>
        <w:br/>
        <w:t xml:space="preserve">(303) LUMINORA went even further in its discretion when configuring the SCAs in violation of the principle of temporal precedence, declaring REE's indications "improper" and submitting an SCA3 that again included only its facilities, excluding the individual requests of previous third competitors, contrary to the system operator's requirement of September 18, 2020, as stated in paragraph (152) of this Resolution.  </w:t>
        <w:br/>
        <w:t xml:space="preserve">(304) LUMINORA rejects these points and argues that it never refused to follow REE's instructions nor violated the principle of temporal precedence, but rather it was SHARK POWER that never sent it its access request nor provided the necessary documentation. According to LUMINORA, it is being overlooked that it was precisely SHARK POWER that did not comply with those indications (as deduced from REE's allegations regarding the access conflict233). LUMINORA claims that it responded to those instructions in its allegations of September 25, 2020, and was waiting, but REE never responded to them.  </w:t>
        <w:br/>
        <w:t xml:space="preserve">(305) We must, however, insist that the SSR's Resolution of July 8, 2021, regarding conflict CFT/DE/0134/20 does not question the conduct of SHARK POWER or REE at any time, but refers to LUMINORA's non-compliance as IUN preventing REE from resolving on access: "Thus, after a first requirement for correction, on September 18, 2020, REE sends a communication to the IUN urging the submission of a joint and coordinated access request that included SHARK POWER's plants, to which LUMINORA (sic) refuses, forcing REE not to resolve the coordinated access request raised by the IUN. With  </w:t>
        <w:br/>
        <w:t>233 "In light of the above, since the requirement made by RED ELÉCTRICA on 09/18/2020 was not met –neither by the Applicants who did not send their access request to the IUN, nor by the IUN that did not submit a coordinated request integrating the Applicants' requests–, and given the existence of the present access conflict raised by SPR before the CNMC for connection at FAUSITA 400 kV, we inform that RED ELÉCTRICA has not responded to any of the requests granting or denying access permission, understanding that this situation must be resolved by the CNMC prior." Allegations presented by REE to CFT 134_2020 and incorporated into the reference file by means of testimony deduction (folio 798).</w:t>
      </w:r>
    </w:p>
    <w:p>
      <w:r>
        <w:rPr>
          <w:b/>
        </w:rPr>
        <w:t>[Pages 82–84]</w:t>
      </w:r>
    </w:p>
    <w:p>
      <w:r>
        <w:t xml:space="preserve">S/0003/23  </w:t>
        <w:br/>
        <w:t xml:space="preserve">LUMINORA  </w:t>
        <w:br/>
        <w:t xml:space="preserve">previously, SHARK POWER had raised the present access conflict”234.  </w:t>
        <w:br/>
        <w:t xml:space="preserve">(306) The behavior of LUMINORA, in its capacity as IUN, sought to expel the projects of third-party promoters from accessing the FAUSITA 400 kV node of the transmission network. So much so that they were systematically excluded from the various coordinated access requests submitted by LUMINORA to REE, and only as a result of the access conflict raised by SHARK POWER on August 31, 2020, could the SSR Resolution of July 8, 2021, annul such exclusion, which in no way refutes the suitability of the practices carried out to produce real effects of expulsion in the market.  </w:t>
        <w:br/>
        <w:t xml:space="preserve">(307) It is worth recalling in this regard the established doctrine according to which the infringement of Article 2 of the LDC does not require the demonstration that the practice carried out by the company in question has caused a real effect in the market, but it is sufficient to demonstrate that such an effect is possible or potential. In the words of the Audiencia Nacional:  </w:t>
        <w:br/>
        <w:t xml:space="preserve">“The infringing type does not require the achievement of the purpose of violating free competition; it is enough that the conduct is objectively suitable to achieve such a purpose, whether it succeeds or not”235.  </w:t>
        <w:br/>
        <w:t xml:space="preserve">(308) Note, in any case, that in addition to the potential effect of definitive exclusion that would have occurred had the access conflict not been raised, a certain anticompetitive effect did occur in the market, consisting of a significant delay in granting access to SHARK POWER's facilities to the FAUSITA 400 node. SHARK POWER submitted its first access request in June 2020, having to wait more than a year for that access to be granted in August 2021.  </w:t>
        <w:br/>
        <w:t xml:space="preserve">(309) As noted in the aforementioned Resolution of July 8, 2021, of the SSR: “Such non-discriminatory access is only ensured through a new and unique joint access request that includes the facilities of LUMINORA and those of SHARK POWER, including in this case the facility called 'Marlin', as the request for it was carried out correctly and completely on June 3, 2020236.”  </w:t>
        <w:br/>
        <w:t xml:space="preserve">(310) Therefore, neither the exclusion of SHARK POWER's facilities from the SCAs prior to the access conflict, nor the delay in the effective granting of the same, would have occurred in a counterfactual scenario in which LUMINORA234 would have acted in good faith in the functions of the IUN, respecting the principle of temporal precedence of individual access requests when forming and submitting the SCAs to REE, complying with the delimitation of the reference perimeter indicated by REE and without affecting SHARK POWER's right of access. And all this, in consideration of the special responsibility that fell upon it in its capacity as IUN at the FAUSITA 400 kV node of the electricity transmission network.  </w:t>
        <w:br/>
        <w:t xml:space="preserve">(311) The discriminatory action of LUMINORA in its capacity as IUN resulted in its projects (promoted by the Powertis Group) being included in the SCAs submitted to REE, excluding SHARK POWER's requests on three occasions and even against the criteria expressly notified by REE. Only the action of this third party (totally unrelated to the action and will of the dominant operator) by submitting the access conflict to the Energy Directorate of the CNMC could reverse the situation generated by LUMINORA and position all operators on equal terms for access and connection to the FAUSITA 400 kV node of the transmission network.  </w:t>
        <w:br/>
        <w:t xml:space="preserve">(312) LUMINORA denies this possibility given that REE, even before being informed of the access conflict presented by SHARK POWER, had already sent its communication of September 18, 2020, to LUMINORA and SHARK POWER, resolving the same as the CNMC did a year later in the Resolution of July 8, 2021, of the reference conflict. Therefore, according to LUMINORA, without the access conflict, it would have submitted an access request including the facilities of SHARK POWER once it had received the necessary technical information and documentation.  </w:t>
        <w:br/>
        <w:t xml:space="preserve">(313) This Chamber considers that, as evidenced by the communication of September 25, 2020, from LUMINORA to REE and its subsequent actions, LUMINORA notified REE of its intention not to comply with REE's requirement of September 18, 2020 (paragraph (153)), attributing to itself the functions of the network manager by requesting other promoters to rectify their access request beyond the formal elements and presenting a new SCA on October 14, 2020, when the access conflict was already being processed, against REE's instruction.  </w:t>
        <w:br/>
        <w:t xml:space="preserve">(314) Although REE's action could have remedied the situation at some point, this does not prevent the assertion that LUMINORA abused its privileged position as IUN, favoring access to the node of its own facilities while obstructing the access of the competing promoter SHARK POWER's facilities.  </w:t>
        <w:br/>
        <w:t xml:space="preserve">5.4.3.5. Conclusion  </w:t>
        <w:br/>
        <w:t xml:space="preserve">(315) LUMINORA overlooked a normal application of competition, based on the merits of each competing company, not only discriminating in the configuration of the SCAs for access to a node of the transmission network but also taking advantage of the privileged position granted by its status as IUN to exclude competitors whose requests were prior to its own. As IUN, LUMINORA altered the procedure for configuring and submitting the SCAs that it was to send to REE, to favor its own and exclude those of its competitors, thereby violating the principles of equality, transparency, and non-discrimination that pertain to every IUN in carrying out its functions.  </w:t>
        <w:br/>
        <w:t xml:space="preserve">(316) In this case, the dominant position that the designation as IUN attributes to LUMINORA under the applicable regulations should imply the special responsibility of the dominant company to ensure not only the processing of requests jointly and coordinated, according to their temporal precedence, but also that such processing is carried out transparently, equally, and non-discriminatorily, especially when, as noted by the Energy Directorate of the CNMC: “the access of third parties to the network is a fundamental piece to ensure that electricity generation is truly a free and unregulated activity” and that such access “is articulated on the principle of non-discrimination among applicants.” Non-discrimination is guaranteed, in the first place, by the obligation of the network manager to have the correct information so that access to the networks can be “equal for all and should not generate asymmetries”237.  </w:t>
        <w:br/>
        <w:t xml:space="preserve">(317) Again, the special responsibility that fell on LUMINORA, which was designated IUN at the FAUSITA 400 kV node at its own initiative, involved, as the necessary processor and representative of all applicants before REE, the commitment to carry out not only the processing of such requests jointly and coordinated, according to the order of temporal precedence, but also that such processing had to be done under conditions of equality and non-discrimination.  </w:t>
        <w:br/>
        <w:t xml:space="preserve">(318) This discriminatory treatment of SHARK POWER's requests by LUMINORA not only did not respond to any objective justification238, but had sufficient capacity to generate a significant impact on its competitive position, with the expulsion of SHARK POWER's projects that had to compete with LUMINORA for the available capacity at the FAUSITA 400 kV node.  </w:t>
        <w:br/>
        <w:t xml:space="preserve">(319) In conclusion, and in light of what has been stated so far, this Chamber considers it proven that LUMINORA abused its dominant position as IUN at the FAUSITA 400 kV node, since July 28, 2020, when it submitted the request.  </w:t>
        <w:br/>
        <w:t xml:space="preserve">237 Report dated November 4, 2019, sent by the Energy Directorate at the request of the Competition Directorate in the file S/0022/20 ENEL GREEN POWER ESPAÑA and incorporated into the reference file by means of testimony deduction (folios 1240 to 1251).  </w:t>
        <w:br/>
        <w:t>238 See again the Resolution of the SSR of July 8, 2021, of the access conflict CFT/DE/134/20: “An IUN is neither can be, in any case, the one that decides to postpone a clearly prior request, which is what LUMINORA is doing in this case.”</w:t>
      </w:r>
    </w:p>
    <w:p>
      <w:r>
        <w:rPr>
          <w:b/>
        </w:rPr>
        <w:t>[Pages 85–87]</w:t>
      </w:r>
    </w:p>
    <w:p>
      <w:r>
        <w:t xml:space="preserve">S/0003/23  </w:t>
        <w:br/>
        <w:t xml:space="preserve">LUMINORA  </w:t>
        <w:br/>
        <w:t xml:space="preserve">first SCA solely with its facilities, until the Resolution of the Regulatory Supervision Chamber of the access conflict of July 8, 2021, avoiding including in the SCAs it submitted to REE the requests of third-party promoters and competitors (specifically, SHARK POWER) prior to its own.  </w:t>
        <w:br/>
        <w:t xml:space="preserve">5.4.4. Effects on the market  </w:t>
        <w:br/>
        <w:t xml:space="preserve">5.4.4.1. General principles  </w:t>
        <w:br/>
        <w:t xml:space="preserve">(320) In accordance with established case law, and with the practice of this CNMC239, the assessment of an infringement of Article 2 of the LDC does not require the demonstration that the practice carried out by the company in question has caused a real effect in the market, but it is sufficient to demonstrate that such an effect is possible or potential.  </w:t>
        <w:br/>
        <w:t xml:space="preserve">(321) The judgment of the CJEU of February 17, 2011 established that "in order to demonstrate the abusive nature of such a practice, there must be its effect contrary to competition in the market, but this does not have to be necessarily concrete, it is sufficient to demonstrate a possible effect contrary to competition that is of such a nature that it expels competitors at least equally efficient as the company that is in a dominant position"240.  </w:t>
        <w:br/>
        <w:t xml:space="preserve">(322) The judgment of the GCEU of March 29, 2012 emphasizes this consideration, stating that "the effect referred to in the case law cited in the previous paragraph does not necessarily refer to the concrete effect of the abusive conduct reported. To demonstrate the existence of an infringement of Article 82 EC, it is sufficient to demonstrate that the abusive behavior of the company occupying a dominant position is aimed at restricting competition or, in other words, that the behavior can have such an effect (judgments of the Court of September 30, 2003, Michelin/Commission, T-203/01, Rec. p. II-4071, paragraph 239; of December 17, 2003, British Airways/Commission, T-219/99, Rec. p. II-5917, paragraph 293, and Microsoft/Commission, cited in paragraph 58 above, paragraph 867)"241 (emphasis added).  </w:t>
        <w:br/>
        <w:t xml:space="preserve">(323) More recently, the Judgment of the CJEU of January 19, 2023 C-680/20 in the Unilever case stated: "Certainly, to ascertain the abusive nature of a behavior, a competition authority does not necessarily have to demonstrate that such behavior actually produced effects contrary to competition. In truth, Article 102 TFEU aims to sanction the fact that one or more companies exploit a dominant position in the internal market or in a substantial part thereof abusively, regardless of whether such exploitation has been successful or not (judgment of May 12, 2022, Servizio Elettrico Nazionale and others, C-377/20, EU:C:2022:379, paragraph 53 and cited case law). Therefore, a competition authority can declare the existence of an infringement of Article 102 TFEU by noting that, during the period in which the behavior in question was carried out, it had, in the circumstances of the specific case, the capacity to restrict competition based on merits despite its lack of effect (emphasis added)"242.  </w:t>
        <w:br/>
        <w:t xml:space="preserve">(324) In the same vein, our national case law has ruled on numerous occasions, regarding the infringement of Article 2 of the LDC, stating that "the infringing type does not require the achievement of the purpose of violating free competition, it is sufficient that the conduct is objectively suitable to achieve such a purpose, whether it succeeds or not"243.  </w:t>
        <w:br/>
        <w:t xml:space="preserve">5.4.4.2. Application to the case  </w:t>
        <w:br/>
        <w:t xml:space="preserve">(325) The behavior of LUMINORA, in its capacity as IUN, had the capacity and suitability to restrict competition and, in particular, to produce the real effects of expelling third-party promoters in accessing the FAUSITA 400 kV node of the transport network. So much so that the effects of expulsion effectively occurred, for SHARK POWER by being excluded from the successive SCAs that LUMINORA submitted to REE.  </w:t>
        <w:br/>
        <w:t xml:space="preserve">(326) The above, without prejudice to the fact that, as a result of the SSR Resolution of July 8, 2021, the IUN was obliged to submit a new joint request to REE, taking into account both its requests and those of SHARK POWER unjustifiably excluded, to proceed with the allocation of the available capacity.  </w:t>
        <w:br/>
        <w:t xml:space="preserve">(327) LUMINORA rejects this point arguing the absence of effects in the market244. It claims that it did not have the capacity to produce real effects of expulsion of third-party promoters in the market for access and connection to the electricity transport network through the FAUSITA 400 kV node, nor, therefore, to affect the related generation market, when the decision to authorize or deny access rests exclusively with REE, which rejected all the SCAs submitted by LUMINORA. According to LUMINORA, the facts would have demonstrated that REE was not going to accept LUMINORA's SCA proposal without including SHARK POWER's facilities within the reference perimeter defined by the network manager itself.  </w:t>
        <w:br/>
        <w:t xml:space="preserve">(328) As previously noted, national and EU case law has determined that, in order to demonstrate the abusive nature of a particular practice, a contrary effect on competition in the market must be identified, but this does not have to be necessarily concrete, it is sufficient to demonstrate a possible effect contrary to competition that is of such a nature that it expels competitors at least equally efficient as the company that is in a dominant position.  </w:t>
        <w:br/>
        <w:t xml:space="preserve">(329) In this sense, the behavior of LUMINORA, in its capacity as IUN, had the real and potential capacity to restrict competition and, in particular, to produce the concrete effects of preventing, paralyzing, or delaying the access and connection of third-party promoters' projects to the transport network through the FAUSITA 400 kV node, by not processing the individual access and connection requests of SHARK POWER on three occasions, potentially leaving them without capacity at that node. In this way, such individual requests would never have had the real possibility of accessing and connecting to the electricity transport network due to the continued action of the IUN not including them in the SCAs submitted to the system operator.  </w:t>
        <w:br/>
        <w:t xml:space="preserve">(330) Regarding the potential illicit benefit derived from the infringement, this is, in the analyzed case, closely related to the effects of the conduct on competing operators, as LUMINORA would be the company that would have obtained the benefits derived from the generation of electricity fed into the transport network through that node, instead of SHARK POWER if the interposition of an access conflict before the SSR of the CNMC had not occurred.  </w:t>
        <w:br/>
        <w:t>(331) Therefore, LUMINORA, taking advantage of its status as IUN at the FAUSITA 400 kV node of the electricity transport network and in exercising the special rights that sectoral regulations grant to this figure, altered the game of free competition based on merits, improperly applying the principle of temporal precedence of individual access requests when configuring and presenting an SCA to REE, effectively obstructing not only the potential but the actual right of access of third-party competitors.</w:t>
      </w:r>
    </w:p>
    <w:p>
      <w:r>
        <w:rPr>
          <w:b/>
        </w:rPr>
        <w:t>[Pages 88–90]</w:t>
      </w:r>
    </w:p>
    <w:p>
      <w:r>
        <w:t xml:space="preserve">S/0003/23  </w:t>
        <w:br/>
        <w:t xml:space="preserve">LUMINORA  </w:t>
        <w:br/>
        <w:t xml:space="preserve">5.4.5. Qualification of the infringement  </w:t>
        <w:br/>
        <w:t xml:space="preserve">(332) Article 62.4. b) of the LDC, in its version prior to the amendment made by Royal Decree-Law 7/2021245, classified as very serious a practice of abuse of dominant position that we could call "qualified" for meeting any of these three causes:  </w:t>
        <w:br/>
        <w:t xml:space="preserve">- The dominant company operates in a recently liberalized market;  </w:t>
        <w:br/>
        <w:t xml:space="preserve">- The dominant company has a market share close to monopoly, or  </w:t>
        <w:br/>
        <w:t xml:space="preserve">- The dominant company enjoys special or exclusive rights.  </w:t>
        <w:br/>
        <w:t xml:space="preserve">(333) The current version of Article 62.4 of the LDC, in force since April 29, 2021, classifies as very serious any abuse of dominant position typified in Article 2 of this law.  </w:t>
        <w:br/>
        <w:t xml:space="preserve">(334) In the present case, as has been explained, the figure of the IUN was endowed with special rights by Annex XV of Royal Decree 413/2014, as the necessary processor of access to a given node of the electricity transmission network. The designation as IUN, requested by LUMINORA itself, conferred on that company the exercise and enjoyment of special prerogatives consisting of the joint and coordinated processing before REE of the individual access requests received; and acting as a representative of the promoters sharing the same access point246.  </w:t>
        <w:br/>
        <w:t xml:space="preserve">(335) Therefore, the described behaviors would fall within a scenario in which LUMINORA took advantage of the exclusive rights conferred by its status as IUN at the affected node, which entails the classification of the abuse of dominant position committed as an infringement contrary to Article 2 of the LDC and classified as very serious by virtue of Article 62.4.b) of the LDC.  </w:t>
        <w:br/>
        <w:t xml:space="preserve">245 Royal Decree-Law 7/2021, of April 27, transposing European Union directives in the areas of competition, prevention of money laundering, credit institutions, telecommunications, tax measures, prevention and repair of environmental damage, displacement of workers in the provision of transnational services, and consumer protection, "BOE" No. 101, of April 28, 2021.  </w:t>
        <w:br/>
        <w:t xml:space="preserve">246 Regarding Additional Provision XV of Royal Decree 413/2014, two clear normative attributions of the IUN can be deduced, namely, and in relation to its attributions, the SSR Resolution dated July 22, 2020, in access conflict CFT/DE/114/19 stated that this regulation includes the obligation of the IUN to act on behalf of the promoters, which entails, at least, and according to the applicability of the general principles of law, the duty of the IUN to act "under the requirements of good faith and without incurring in abuse of rights."  </w:t>
        <w:br/>
        <w:t xml:space="preserve">Comisión Nacional de los Mercados y la Competencia 88 de 110  </w:t>
        <w:br/>
        <w:t xml:space="preserve">C/ Alcalá, 47 – 28014 Madrid - C/ Bolivia, 56 – 08018 Barcelona  </w:t>
        <w:br/>
        <w:t>www.cnmc.es</w:t>
      </w:r>
    </w:p>
    <w:p>
      <w:r>
        <w:t xml:space="preserve">S/0003/23  </w:t>
        <w:br/>
        <w:t xml:space="preserve">LUMINORA  </w:t>
        <w:br/>
        <w:t xml:space="preserve">5.4.6. Liability and culpability  </w:t>
        <w:br/>
        <w:t xml:space="preserve">5.4.6.1. General principles  </w:t>
        <w:br/>
        <w:t xml:space="preserve">(336) In the field of Spanish administrative sanctioning law, objective liability for the commission of an infringement is not applicable, and the volitional element is essential. This means that the imposition of the sanction requires that the typical and unlawful conduct be attributable, at least by way of fault, to the author247. Therefore, Article 63.1 of the LDC conditions the exercise of the sanctioning power by the competition authority on the presence of intent or negligence in the infringing subject in the commission of the alleged conduct. In this regard, the Supreme Court has established that culpability in the scope of application of the LDC must take into account the logical particularities implied by the concept of legal person:248  </w:t>
        <w:br/>
        <w:t xml:space="preserve">“In the case of administrative infringements committed by legal persons, the subjective element of fault is not eliminated, but it must be applied differently than it is for natural persons. […] this different construction of the attribution of authorship of the infringement to the legal person arises from the very nature of the legal fiction to which legal persons respond. They lack the volitional element in the strict sense, but not the capacity to infringe the rules to which they are subject. […] that principle [of culpability] must necessarily be applied differently than it is for natural persons […]”.  </w:t>
        <w:br/>
        <w:t xml:space="preserve">(337) Article 61 of the LDC establishes that the infringing subjects are natural or legal persons who carry out the actions or omissions typified as infringements in the LDC. In its second paragraph, it indicates that “(...) the actions of a company are also attributable to the companies or persons that control it, except when its economic behavior is not determined by any of them.”  </w:t>
        <w:br/>
        <w:t xml:space="preserve">(338) The previous doctrine has been confirmed among others, by the Judgment of the Provincial Court of Madrid, Section 28, of October 23, 2008, Sogecable (Appeal 559/2007) which reiterates the principles established in the matter by EU jurisprudence249 under which the attribution to the parent company of the anti-competitive conduct of a subsidiary is motivated by the criterion of economic unity.  </w:t>
        <w:br/>
        <w:t xml:space="preserve">247 See, among others, the Judgment of the TS of November 22, 2004, and Article 130.1 of Law 30/1992, of November 26, on the Legal Regime of Public Administrations and Common Administrative Procedure (LRJPAC) and 28 of Law 40/2015, of October 1, on the Legal Regime of the Public Sector.  </w:t>
        <w:br/>
        <w:t xml:space="preserve">248 Judgment of the TS, of May 22, 2015, appeal 95/2014 (ECLI:ES:TS:2015:2194).  </w:t>
        <w:br/>
        <w:t xml:space="preserve">249 CJEU Judgments of November 25, 1971, Beguelin; of July 14, 1972 (ECLI:EU:C:1971:113), ACNA and others; of March 6, 1974, Commercial Solvents, of November 21, 1973, Europemballage and Continental Can; of October 31, 1974, Centrafarm of May 4, 1988, Bodsom, and of July 12, 1984, Hydrotherm, and of October 8, 2008, Schunk GmbH and Schunk Kohlenstoff-Technik GmbH.  </w:t>
        <w:br/>
        <w:t xml:space="preserve">Comisión Nacional de los Mercados y la Competencia 89 de 110  </w:t>
        <w:br/>
        <w:t xml:space="preserve">C/ Alcalá, 47 – 28014 Madrid - C/ Bolivia, 56 – 08018 Barcelona  </w:t>
        <w:br/>
        <w:t>www.cnmc.es</w:t>
      </w:r>
    </w:p>
    <w:p>
      <w:r>
        <w:t xml:space="preserve">S/0003/23  </w:t>
        <w:br/>
        <w:t xml:space="preserve">LUMINORA  </w:t>
        <w:br/>
        <w:t xml:space="preserve">(339) In this regard, reiterated jurisprudence of the CJEU has pointed out on different occasions that:  </w:t>
        <w:br/>
        <w:t xml:space="preserve">“According to established case law, the behavior of a subsidiary can be attributed to the parent company, in particular, when, although it has separate legal personality, that subsidiary does not autonomously determine its behavior in the market but essentially follows the instructions given by the parent company (...) taking into account specifically the economic, organizational, and legal links that unite those two legal entities (...).  </w:t>
        <w:br/>
        <w:t xml:space="preserve">In such a situation, the parent company and its subsidiary are part of the same economic unit and, therefore, constitute a single company (...).  </w:t>
        <w:br/>
        <w:t xml:space="preserve">In the particular case where a parent company holds 100% of the capital of its subsidiary that has infringed community law (...) there is a presumption iuris tantum that the parent company effectively exercises decisive influence over the behavior of its subsidiary.  </w:t>
        <w:br/>
        <w:t xml:space="preserve">In these circumstances, it is sufficient for the Commission to prove that the parent company of a subsidiary owns all of its capital to presume that it exercises decisive influence over the commercial policy of that subsidiary”250.  </w:t>
        <w:br/>
        <w:t xml:space="preserve">(340) In relation to such control, Article 7.2 of the LDC states that control will result from contracts, rights, or any other means that, taking into account the factual and legal circumstances, confer the possibility of exercising decisive influence over a company and, in particular, through rights of ownership or use of all or part of the assets of a company and contracts, rights, or any other means that allow for decisive influence over the composition, deliberations, or decisions of the company's bodies, also indicating that, in any case, it will be considered that such control exists when the assumptions provided for in Article 4 of Law 24/1988, of July 28, on the Securities Market are met.  </w:t>
        <w:br/>
        <w:t xml:space="preserve">(341) The above has been reiterated through numerous resolutions from both the TDC251 and the CNC252, establishing for these purposes that the relevant criterion is the existence of control, that is, the possibility of exercising decisive influence over the subsidiary regardless of the means used, even in cases where such control has not been effectively exercised.  </w:t>
        <w:br/>
        <w:t xml:space="preserve">(342) Likewise, and according to the most recent jurisprudence of the CJEU, not only is the presumption iuris tantum that the parent company exercises control admitted,  </w:t>
        <w:br/>
        <w:t xml:space="preserve">250 See CJEU Judgment of September 10, 2009, in case C-97/08 Akzo Nobel (ECLI:EU:C:2009:536); CJEU Judgment of January 20, 2011, in case C-90/09 Repsol  </w:t>
        <w:br/>
        <w:t xml:space="preserve">251 TDC Resolutions of July 6, 2000, Expte. 464/99 Medical Insurers Vizcaya; of April 18, 2001, 487/00 Radio Fórmula, of February 13, 2003, 549/02 Cementeras Puerto Bilbao; of March 1, 2007, 610/06 Prepaid Telephone Cards and of June 16, 2005 Gas Natural.  </w:t>
        <w:br/>
        <w:t xml:space="preserve">252 CNC Resolutions of September 8, 2020 Navieras Línea Cabotaje Ceuta- Algeciras (Expte. S/008008); of January 21, 2010 Gel Manufacturers (Expte. S/0084/08); of March 2, 2011 Professional Hairdressing (Expte S/0086/08) and January 26, 2010 Abertis/ Tradia (Expte. SNC/003/09).  </w:t>
        <w:br/>
        <w:t xml:space="preserve">Comisión Nacional de los Mercados y la Competencia 90 de 110  </w:t>
        <w:br/>
        <w:t xml:space="preserve">C/ Alcalá, 47 – 28014 Madrid - C/ Bolivia, 56 – 08018 Barcelona  </w:t>
        <w:br/>
        <w:t>www.cnmc.es</w:t>
      </w:r>
    </w:p>
    <w:p>
      <w:r>
        <w:rPr>
          <w:b/>
        </w:rPr>
        <w:t>[Pages 91–93]</w:t>
      </w:r>
    </w:p>
    <w:p>
      <w:r>
        <w:t xml:space="preserve">S/0003/23  </w:t>
        <w:br/>
        <w:t xml:space="preserve">LUMINORA  </w:t>
        <w:br/>
        <w:t xml:space="preserve">decisive over its subsidiary when it holds 100% of the share capital, but even a financial investor can exercise such control if it holds 100% of the voting rights, even if it does not own 100% of the share capital during the period of the infringement considered253.  </w:t>
        <w:br/>
        <w:t xml:space="preserve">(343) In such cases, it is up to the parent company to rebut this presumption by providing evidence that demonstrates that its subsidiary autonomously determines its conduct in the market.  </w:t>
        <w:br/>
        <w:t xml:space="preserve">5.4.6.2. Application to the case  </w:t>
        <w:br/>
        <w:t xml:space="preserve">(344) Considering the previously established facts, it is deemed that the anticompetitive behaviors described are attributable to LUMINORA SOLAR DOCE, S.L. and jointly liable, its parent SOLTEC DEVELOPMENT, S.A. (formerly known as POWERTIS, S.A.), for its participation in a very serious infringement constituting an abuse of a dominant position prohibited by Article 2 of the LDC, consisting of the discriminatory treatment of access requests to the FAUSITA 400 kV network node in its capacity as IUN at that node, to the benefit of the projects of its business group and expelling the projects of third competitors.  </w:t>
        <w:br/>
        <w:t xml:space="preserve">(345) Regarding the duration of the infringement, it is understood that the start is marked by the date of submission of the SCA1, July 28, 2020 (one day after its designation as IUN), which included only its facilities, taking advantage of the ignorance of the other promoters regarding that designation, which was published by REE three days later (on July 30, 2020).  </w:t>
        <w:br/>
        <w:t xml:space="preserve">(346) Thus, the abusive conduct continued until the adoption of the resolution of the Regulatory Supervision Chamber of the CNMC on July 8, 2021254, through which LUMINORA was imposed the obligation to submit a joint and coordinated access request that included the facilities of LUMINORA, as well as those of SHARK POWER, as the only way to ensure equitable and non-discriminatory access to the capacity of the transport network node.  </w:t>
        <w:br/>
        <w:t xml:space="preserve">253 CJEU judgment of January 27, 2021, case C‑595/18 P, THE GOLDMAN SACHS GROUP INC (ECLI:EU:C:2021:73). And in the same sense, previously judgments of the General Court of June 15, 2005, case T-71/03, Tokai Carbon and Others/European Commission; in case T-30/05 Prym Consumer/Commission, of September 12, 2007; of December 12, 2007 in case T-112/05, Akzo Nobel and others/Commission; of December 18, 2008 in case T-85/06, General Quimica/Commission; of the CJEU in case C-97/08P Akzo Nobel NV and others/Commission; conclusions of Advocate General Kokott of April 23, 2009; of the CJEU of September 10, 2009, case C-97/08, (case T-112/05; of September 30, 2009 of the General Court in cases C-520/09 P Arkema SA/Commission and C-521/09 P Elf Aquitaine/Commission; of the General Court of June 16, 2011 in case T-196/06 and of the CJEU of September 29, 2011, C-521/09 P.  </w:t>
        <w:br/>
        <w:t xml:space="preserve">254 Resolution of the Regulatory Supervision Chamber of the CNMC of July 8, 2021, in file CFT/DE/134/20 (pages 541 to 557).  </w:t>
        <w:br/>
        <w:t xml:space="preserve">Comisión Nacional de los Mercados y la Competencia 91 de 110  </w:t>
        <w:br/>
        <w:t xml:space="preserve">C/ Alcalá, 47 – 28014 Madrid - C/ Bolivia, 56 – 08018 Barcelona  </w:t>
        <w:br/>
        <w:t>www.cnmc.es</w:t>
      </w:r>
    </w:p>
    <w:p>
      <w:r>
        <w:t xml:space="preserve">S/0003/23  </w:t>
        <w:br/>
        <w:t xml:space="preserve">LUMINORA  </w:t>
        <w:br/>
        <w:t xml:space="preserve">(347) LUMINORA rejects that the termination date of the conduct should be set at July 8, 2021, corresponding to the resolution of the access conflict255. It argues, in this regard, that the access procedure before REE was suspended from the moment the CNMC admitted the access conflict for processing, on October 5, 2020. LUMINORA was informed of this suspension by SHARK POWER on October 15, 2020256, which was subsequently confirmed by REE through communication on October 20, 2020 (as previously indicated in paragraph (168))257. The accused company additionally emphasizes that on September 18, 2020, REE already rejected the SCA1 and indicated to both LUMINORA and SHARK POWER that their requests should be processed jointly through a SCA (as reflected in paragraph (152)).  </w:t>
        <w:br/>
        <w:t xml:space="preserve">(348) This Chamber cannot accept LUMINORA's argument. The termination of the infringing conduct did not occur until the Resolution of the SSR on July 8, 2021, since only then was the exclusion of SHARK POWER, whose requests were not adequately processed by LUMINORA as IUN, ended. LUMINORA's anticompetitive conduct continued to have effects, as it maintained the refusal to include SHARK POWER's projects against REE's criteria, a situation that LUMINORA itself was able to redirect at all times.  </w:t>
        <w:br/>
        <w:t xml:space="preserve">(349) Regarding SOLTEC's liability, it is considered that LUMINORA SOLAR DOCE, S.L. and its parent SOLTEC DEVELOPMENT, S.A., constitute a single economic unit given the parent company's percentage of participation in the subsidiary's share capital of 100%. Therefore, the presumption applies, unrefuted by the accused, according to which SOLTEC exercises, or at least has the capacity to exercise, decisive influence over LUMINORA, determining the main commercial and strategic decisions that it may adopt according to the instructions given258.  </w:t>
        <w:br/>
        <w:t xml:space="preserve">(350) In addition to the aforementioned participation by SOLTEC in 100% of LUMINORA's capital, it is worth noting the existence of personal ties between the two entities that reinforce their consideration as a single economic unit, as the general director of the parent SOLTEC DEVELOPMENT, S.A., is also the sole Administrator of LUMINORA SOLAR DOCE, S.L.  </w:t>
        <w:br/>
        <w:t xml:space="preserve">255 Paragraphs 411 to 414 of LUMINORA's allegations to the Proposal for Resolution (  </w:t>
        <w:br/>
        <w:t xml:space="preserve">256 Email of October 5, 2020, sent by SHARK POWER to LUMINORA and REE Subject: RE: Subsequent considerations after the identification of the IUN_FAUSITA 400 kV_reference perimeter 27jul20_18sep20 (pages 394 and 395).  </w:t>
        <w:br/>
        <w:t xml:space="preserve">257 Email from REE to LUMINORA on October 20, 2020, Subject: RE: Communication regarding your request made by LUMINORA SOLAR DOCE S.L., at the FAUSITA 400 kV node. Information provided by LUMINORA in allegations to file CFT/DE/134/20, incorporated into the reference file by testimony deduction (page 535).  </w:t>
        <w:br/>
        <w:t xml:space="preserve">258 Information available in the Informa database, and incorporated into the reference file (pages 1039 to 1068).  </w:t>
        <w:br/>
        <w:t xml:space="preserve">Comisión Nacional de los Mercados y la Competencia 92 de 110  </w:t>
        <w:br/>
        <w:t xml:space="preserve">C/ Alcalá, 47 – 28014 Madrid - C/ Bolivia, 56 – 08018 Barcelona  </w:t>
        <w:br/>
        <w:t>www.cnmc.es</w:t>
      </w:r>
    </w:p>
    <w:p>
      <w:r>
        <w:t xml:space="preserve">S/0003/23  </w:t>
        <w:br/>
        <w:t xml:space="preserve">LUMINORA  </w:t>
        <w:br/>
        <w:t xml:space="preserve">Furthermore, the Business Development Director of the parent is the person responsible for carrying out the IUN functions attributed to LUMINORA. On the other hand, in the commercial reports of the companies LUMINORA SOLAR DOCE, S.L. and SOLTEC DEVELOPMENT, S.A., the same registered office is listed259.  </w:t>
        <w:br/>
        <w:t xml:space="preserve">(351) Therefore, the anticompetitive conduct subject to this file is attributable to LUMINORA and jointly to its parent SOLTEC, both being responsible for a very serious infringement constituting an abuse of a dominant position prohibited by Article 2 of the LDC.  </w:t>
        <w:br/>
        <w:t xml:space="preserve">5.4.7. Responses to allegations not previously addressed  </w:t>
        <w:br/>
        <w:t xml:space="preserve">5.4.7.1. Regarding references to the resolution of the access conflict CFT/DE/134/20  </w:t>
        <w:br/>
        <w:t xml:space="preserve">(352) LUMINORA reproaches in its allegations to the Proposal for Resolution that, when determining the proven facts, the DC started from the facts recorded in the CNMC resolution of July 8, 2021 in the access conflict CFT/DE/134/20260 and has taken into account, for legal evaluation, assessments regarding the conduct of the IUN made by the SSR.  </w:t>
        <w:br/>
        <w:t xml:space="preserve">(353) According to the accused company, this would be inadmissible, as the CNMC would be omitting the due analysis of the matter in the exercise of sanctioning power, by extracting, absolutely, facts and assessments from the access conflict in a way that is not automatically transferable to a sanctioning file for infringement of Competition Law.  </w:t>
        <w:br/>
        <w:t xml:space="preserve">(354) To support its position, LUMINORA invokes the Judgment of the Supreme Court of September 20, 2021 (appeal 1070/2021), in which the high court states that the fact that an administrative resolution becomes final (as is the case with the SSR resolution in CFT/DE/134/20, as it has not been appealed), does not obligate one to assume the correctness of its content nor does it determine that it must be considered as an intangible premise of a subsequent act in which a different administrative power is exercised.  </w:t>
        <w:br/>
        <w:t xml:space="preserve">(355) It is appropriate to respond to the above that starting from the proven facts of the access conflict CFT/DE/134/20 does not imply that such facts have been considered as unmovable, nor much less, that an independent assessment of them has not been carried out in light of Competition Law. Even though it did not appeal the resolution of the access conflict, refuting the conclusions of the SSR regarding the irregularities  </w:t>
        <w:br/>
        <w:t xml:space="preserve">259 Response of July 29, 2021 from LUMINORA to the information request from the Directorate of Competition (pages 12 to 32).  </w:t>
        <w:br/>
        <w:t xml:space="preserve">260 See, among others, paragraphs 4 to 12 of LUMINORA's Allegations to the Proposal for Resolution (pages 1621 to 1685).  </w:t>
        <w:br/>
        <w:t xml:space="preserve">Comisión Nacional de los Mercados y la Competencia 93 de 110  </w:t>
        <w:br/>
        <w:t xml:space="preserve">C/ Alcalá, 47 – 28014 Madrid - C/ Bolivia, 56 – 08018 Barcelona  </w:t>
        <w:br/>
        <w:t>www.cnmc.es</w:t>
      </w:r>
    </w:p>
    <w:p>
      <w:r>
        <w:rPr>
          <w:b/>
        </w:rPr>
        <w:t>[Pages 94–96]</w:t>
      </w:r>
    </w:p>
    <w:p>
      <w:r>
        <w:t xml:space="preserve">S/0003/23  </w:t>
        <w:br/>
        <w:t xml:space="preserve">LUMINORA  </w:t>
        <w:br/>
        <w:t xml:space="preserve">incurred in the exercise of the IUN function of the FAUSITA 400 kV node, LUMINORA has been able to submit allegations to the PCH and question the factual assumptions subject to evaluation in the present file. Such allegations were answered by the DC in the Proposal for Resolution to which LUMINORA has also been able to respond.  </w:t>
        <w:br/>
        <w:t xml:space="preserve">(356) It is also not true that the legal assessment of the resolution of the access conflict has been extrapolated to the present sanctioning procedure, given that the SSR does not rule on the existence of a dominant position by LUMINORA, nor on whether this company has abused it in the sense of Article 2 LDC by acting as IUN. An autonomous assessment of the aforementioned facts has been carried out within the framework of the present file from the perspective of competition law (paragraphs (181) to (351)).  </w:t>
        <w:br/>
        <w:t xml:space="preserve">(357) What cannot logically be overlooked, in order to establish the concurrence of elements such as discrimination, essential to determine the existence of an abuse of a dominant position, are the assessments of the SSR regarding the exercise of the IUN functions from a regulatory perspective. The SSR is, in fact, not only the body best positioned to make such assessments but the only one authorized to rule on this matter and, in particular, on whether the IUN inadequately processed the requests of the other operators, performing actions that did not correspond to it, in accordance with the regulations of the electricity sector. This is without prejudice to the fact that, again, LUMINORA has been given the opportunity to express its views on such assessments within the framework of the present sanctioning file.  </w:t>
        <w:br/>
        <w:t xml:space="preserve">(358) It is appropriate to refer, in this regard, to what is indicated in the SSR's own Resolution of July 8, 2021, in the access conflict CFT/DE/134/20 regarding: (i) “[t]he object of the present procedure ultimately lies in evaluating whether the individual access requests submitted by SHARK POWER on June 3 and July 20, 2020, should have been included in the first coordinated access request or whether, on the contrary, LUMINORA's action, in its capacity as IUN of Fausita 400kV, to exclude them from the coordinated request is correct” and that “it is exclusively the responsibility of this Commission in conflict to analyze whether the joint processing or not of a series of installations responds to criteria of reasonableness, preventing in any case an effective discrimination of the applicants in their right to have their request processed and responded to in accordance with the order in which they were submitted, regardless of whether REE's action is in accordance with the law” (emphasis added).  </w:t>
        <w:br/>
        <w:t xml:space="preserve">S/0003/23  </w:t>
        <w:br/>
        <w:t xml:space="preserve">LUMINORA  </w:t>
        <w:br/>
        <w:t xml:space="preserve">5.4.7.2. On the alleged absence of culpability  </w:t>
        <w:br/>
        <w:t xml:space="preserve">(359) LUMINORA rejects that the subjective element of Article 2 LDC is present, claiming a supposed “absolute absence of culpability” on its part261 based on:  </w:t>
        <w:br/>
        <w:t xml:space="preserve">- “a regulatory framework that is unclear, confusing, and generates conflict” and “makes it almost impossible to carry out the assigned tasks without the non-designated IUN promoters feeling distrust due to the existence of potential interests of the IUN,” as well as  </w:t>
        <w:br/>
        <w:t xml:space="preserve">- a good faith action by LUMINORA characterized by “following all the guidelines for action and procedure of REE that require all requests to include all necessary documentation262.  </w:t>
        <w:br/>
        <w:t xml:space="preserve">(360) This Chamber does not share LUMINORA's position. The lack of regulatory specificity on certain issues related to the exercise of the IUN functions cannot be invoked as a sort of blank check, by those occupying that position, to infringe competition law with impunity by taking advantage of their position as a necessary intermediary between the promoters and REE in order to prevent, hinder, or delay the submission, to the network manager, of the access requests from the other promoters competing for the capacity of the node.  </w:t>
        <w:br/>
        <w:t xml:space="preserve">(361) It is appropriate to refer, in this regard, to the final judgment of the National Court of April 10, 2013 (appeal 6179/2011) in which it was established that, to accept regulatory confusion as a criterion for assessing the absence of culpability, it was necessary to have active participation from the competent Administration, as well as a reasonable legal interpretation of the applicable rules:  </w:t>
        <w:br/>
        <w:t xml:space="preserve">“It follows that not only did the regulatory context induce error, but the active participation of the Administration and in light of the specific proven facts in this administrative file could lead to the conclusion that its action was in accordance with the law. In this sense, starting from the premise that there is no regime of objective liability in matters of administrative infringements and that the culpability of the infringing subject is linked to the circumstance that their conduct is not covered by a reasonable legal interpretation of the applicable rules, the sum of the difficulties in interpretation described by the CNC and the administrative action, although they do not place ASEVI-ASAJA within the limits of the principle of legitimate expectation, do exclude the intentional element in the commission of the infringement, with the consequence that no sanction should be imposed.”263  </w:t>
        <w:br/>
        <w:t xml:space="preserve">(362) As already indicated (paragraphs (86) to (94)), without prejudice to certain deficiencies and inaccuracies, the essential content of the IUN functions is indeed clear: to process the access requests jointly and coordinatedly while respecting the criterion of temporal precedence, which translates into the reference perimeter and the principles of equality, transparency, and non-discrimination.  </w:t>
        <w:br/>
        <w:t xml:space="preserve">(363) Well, it has been proven that LUMINORA violated these basic principles. It did not respect the reference perimeter set by the system operator (134) and carried out actions that correspond exclusively to the latter, repeatedly excluding SHARK POWER's installations from the SCAs submitted. This was done in order to ensure access for its own installations to the FAUSITA 400 kV node before its capacity was exhausted. In the framework of this action, LUMINORA even consciously ignored the express requirement from REE on September 18, 2020, prior to the second SCA (paragraph (152)). All of this prevented the system operator from being able to correctly assess, and within a reasonable time, all the requests submitted. It is worth noting, in this regard, that it was LUMINORA itself that requested its designation as IUN to submit the request for its plants as soon as possible, without even waiting for its appointment to be made public.  </w:t>
        <w:br/>
        <w:t xml:space="preserve">(364) On the other hand, it cannot be considered that the action of the Administration incited LUMINORA to engage in abusive conduct. On the contrary, even before the access conflict arose, the system operator tried to redirect the situation, unsuccessfully, in the face of LUMINORA's refusal to comply with its instructions. REE notified the DGEAIM of the Government of Murcia of a specific reference perimeter (paragraph (134)) and urged LUMINORA in its capacity as IUN at the FAUSITA 400 kV node to include SHARK POWER's installations, a competitor of LUMINORA for the capacity of the access node to the transport network (paragraph (152)).  </w:t>
        <w:br/>
        <w:t xml:space="preserve">(365) In short, it cannot be understood that there was either a reasonable legal interpretation of the applicable rules by LUMINORA or active participation from the competent Administration - REE in this case - that could support its actions. In the absence of these requirements, the existence of regulatory confusion that would allow for the dismissal of LUMINORA's culpability in the commission of the alleged conduct cannot be considered proven.  </w:t>
        <w:br/>
        <w:t>263 Judgment of the National Court of April 10, 2013 (Appeal 6179/2011) in the file S/0167/09 PRODUCERS OF GRAPES AND WINES OF JEREZ (ECLI:ES:AN:2013:1487).</w:t>
      </w:r>
    </w:p>
    <w:p>
      <w:r>
        <w:rPr>
          <w:b/>
        </w:rPr>
        <w:t>[Pages 97–99]</w:t>
      </w:r>
    </w:p>
    <w:p>
      <w:r>
        <w:t xml:space="preserve">S/0003/23  </w:t>
        <w:br/>
        <w:t xml:space="preserve">LUMINORA  </w:t>
        <w:br/>
        <w:t xml:space="preserve">5.4.7.3. On the non-existence of abuse due to the alleged incompatibility of the IUN figure with EU Law  </w:t>
        <w:br/>
        <w:t xml:space="preserve">(366) According to LUMINORA in its allegations to the Proposal for Resolution, the figure of the IUN would be contrary to European Union Law, which would prevent attributing to it a violation of competition rules due to its actions as IUN of the FAUSITA 400 kV node264.  </w:t>
        <w:br/>
        <w:t xml:space="preserve">(367) LUMINORA specifically argues that the state measure by which the IUN figure was implemented contravenes Article 106 of the TFEU, which prohibits Member States from adopting or maintaining measures regarding public enterprises and those enterprises to which they grant special or exclusive rights that are contrary to the rules of the Treaties and in particular to Article 102 of the TFEU concerning the abuse of a dominant position.  </w:t>
        <w:br/>
        <w:t xml:space="preserve">(368) According to LUMINORA's interpretation of the Union jurisprudence related to Article 106 of the TFEU - in particular the judgment of the CJEU in case C-49/07 MOTOE - the incompatibility of the IUN and its regulations with Article 106 of the TFEU arises from the fact that the dual role of necessary processor of access requests and promoter of facilities aiming to capture part of the finite capacity of the node places the IUN in a conflict of interest situation that drives it to abuse its dominant position. Therefore, according to LUMINORA, it cannot be attributed a violation of Article 2 of the LDC since any abuse committed by an IUN would ultimately be attributable to the Spanish State as the author of the regulation that establishes and regulates this figure in violation of Union Law.  </w:t>
        <w:br/>
        <w:t xml:space="preserve">(369) This argument does not hold for various reasons. First, without prejudice to the gaps that the IUN regulation may have, the regulations in which this regulation is integrated require non-discriminatory treatment of access requests to connection nodes in such a way as to guarantee the right of access to the electricity transmission network on equal terms (paragraphs (37) to (50)). This requirement of non-discrimination is not purely formal, but specific mechanisms are articulated to safeguard it, such as the intervention of the network manager, who ultimately decides on the granting of access, as well as the possibility of raising, if applicable, an access conflict before the SSR of the CNMC.  </w:t>
        <w:br/>
        <w:t xml:space="preserve">(370) We must emphasize, on the other hand, that in the present case, the hindrance to competition for access to the capacity of the node did not result from the regulation of the IUN, but from the specific conduct of LUMINORA that exceeded264 Paragraphs 329 to 384 of LUMINORA's allegations to the Proposal for Resolution (folios 1621 to 1685).  </w:t>
        <w:br/>
        <w:t xml:space="preserve">Comisión Nacional de los Mercados y la Competencia 97 de 110  </w:t>
        <w:br/>
        <w:t xml:space="preserve">C/ Alcalá, 47 – 28014 Madrid - C/ Bolivia, 56 – 08018 Barcelona  </w:t>
        <w:br/>
        <w:t>www.cnmc.es</w:t>
      </w:r>
    </w:p>
    <w:p>
      <w:r>
        <w:t xml:space="preserve">S/0003/23  </w:t>
        <w:br/>
        <w:t xml:space="preserve">LUMINORA  </w:t>
        <w:br/>
        <w:t xml:space="preserve">the exercise of the prerogatives of the IUN, contravening the essential content of its functions that is indeed clear (paragraphs (93) and (94)).  </w:t>
        <w:br/>
        <w:t xml:space="preserve">(371) LUMINORA cannot argue that the regulation of the IUN pushed it to systematically exclude SHARK POWER's facilities from coordinated requests, even against REE's instructions. As indicated in the SSR Resolution of July 8, 2021265: "An IUN is not and cannot be, in any case, the one who decides to postpone a clearly prior request, which is what LUMINORA is doing in this case." The reality, in fact, is that, while in some exceptional cases (as reflected in this matter or in the aforementioned ENEL GREEN file) the IUN has been able to use its powers to discriminate against other promoters and favor the access of its own facilities to the network, in the vast majority of cases in which this figure has intervened, the IUN has performed its functions in good faith without engaging in discriminatory practices that would give rise to an access conflict. It is also not decisive, in this sense, that the gaps in the regulation may lead to generating mistrust among the other promoters seeking access to a particular node, regarding how the IUN exercises its functions266. The mistrust of the other promoters is not evaluated in order to establish the abusive practice but the specific actions of LUMINORA.  </w:t>
        <w:br/>
        <w:t xml:space="preserve">(372) In any case, neither the IUN nor the Spanish regulations that establish its creation and regulation have been qualified as contrary to Article 106 of the TFEU by the European Commission or the CJEU, the only authorities that can declare the infringement of this provision by a Member State. In fact, the figure of the IUN has not been repealed for being contrary to Spanish legislation. Although, as of today, the obligation to designate an IUN among the promoters of facilities seeking to access the same node of the transmission network has been eliminated, those IUNs that were appointed prior to the entry into force of Royal Decree 1183/2020 continue to perform their functions. The First Transitional Provision of the Royal Decree in question establishes, in this sense, that: "1. The single interlocutors of the node who have been designated before the entry into force of this royal decree, under the provisions of Annex XV of Royal Decree 413/2014, of June 6, will continue to perform their functions in relation to the access and connection procedures that had been initiated before said entry into force."  </w:t>
        <w:br/>
        <w:t xml:space="preserve">265 See the SSR Resolution of July 8, 2021, of the access conflict CFT/DE/134/20.  </w:t>
        <w:br/>
        <w:t xml:space="preserve">266 Paragraphs 47 to 60 of LUMINORA's allegations to the Proposal for Resolution (folios 1621 to 1685).  </w:t>
        <w:br/>
        <w:t xml:space="preserve">Comisión Nacional de los Mercados y la Competencia 98 de 110  </w:t>
        <w:br/>
        <w:t xml:space="preserve">C/ Alcalá, 47 – 28014 Madrid - C/ Bolivia, 56 – 08018 Barcelona  </w:t>
        <w:br/>
        <w:t>www.cnmc.es</w:t>
      </w:r>
    </w:p>
    <w:p>
      <w:r>
        <w:t xml:space="preserve">S/0003/23  </w:t>
        <w:br/>
        <w:t xml:space="preserve">LUMINORA  </w:t>
        <w:br/>
        <w:t xml:space="preserve">5.4.7.4. Request for oral hearing  </w:t>
        <w:br/>
        <w:t xml:space="preserve">(373) In its written allegations to the Proposal for Resolution, LUMINORA has requested the holding of an oral hearing before the Council as provided in Article 51.3 of the LDC.  </w:t>
        <w:br/>
        <w:t xml:space="preserve">(374) In this regard, it should be noted that the oral hearing is configured as a discretionary power of the Council, which may agree to it "when it considers it appropriate for the analysis and judgment of the object of the file" (art. 19.1 RDC). This Chamber, taking into account the optional nature of the oral hearing and the clarity of the established facts, has decided not to grant the request for an oral hearing as it does not consider it necessary for the assessment of the matter, without this refusal leading to any kind of defenselessness.  </w:t>
        <w:br/>
        <w:t xml:space="preserve">5.4.7.5. Request for evidence  </w:t>
        <w:br/>
        <w:t xml:space="preserve">(375) In its allegations to the PCH, LUMINORA, in accordance with Article 50.3 LDC, proposed the following evidence that was incorporated into the file:  </w:t>
        <w:br/>
        <w:t xml:space="preserve">(i) Annex document 1 to LUMINORA's allegations to the PCH, corresponding to Annex 4 of the Resolution of February 11, 2005, which indicates the information to be included in the access request to the transmission network for distribution and consumption network facilities (folios 1442 to 1445 of the file).  </w:t>
        <w:br/>
        <w:t xml:space="preserve">(ii) Annex document 2 of LUMINORA's allegations to the PCH corresponding to an exchange of emails between LUMINORA and SHARK POWER between July 20 and 22, 2022, regarding the delivery of documentation for the submission of a coordinated request in compliance with the resolution of access conflict CFT/DE/134/20 (folios 1446 and 1447 of the file).  </w:t>
        <w:br/>
        <w:t xml:space="preserve">(376) According to LUMINORA, these annexes to its allegations to the PCH would demonstrate that an IUN could legitimately exclude a request from a SCA if the requesting operator did not provide the necessary information to complete it, as would have happened with SHARK POWER, so its actions as IUN were in accordance with the law, and it could not be attributed an abuse of dominant position contrary to Article 2 of the LDC. The accused company reproaches that the DC would not have taken into account in the Proposal for Resolution these documents that it qualifies as exculpatory evidence267.  </w:t>
        <w:br/>
        <w:t xml:space="preserve">(377) The Council cannot accept LUMINORA's position. The DC analyzes the aforementioned documents in paragraphs 395 to 400 of the Proposal for Resolution267.  </w:t>
        <w:br/>
        <w:t xml:space="preserve">Comisión Nacional de los Mercados y la Competencia 99 de 110  </w:t>
        <w:br/>
        <w:t xml:space="preserve">C/ Alcalá, 47 – 28014 Madrid - C/ Bolivia, 56 – 08018 Barcelona  </w:t>
        <w:br/>
        <w:t>www.cnmc.es</w:t>
      </w:r>
    </w:p>
    <w:p>
      <w:r>
        <w:rPr>
          <w:b/>
        </w:rPr>
        <w:t>[Pages 100–102]</w:t>
      </w:r>
    </w:p>
    <w:p>
      <w:r>
        <w:t xml:space="preserve">S/0003/23  </w:t>
        <w:br/>
        <w:t xml:space="preserve">LUMINORA  </w:t>
        <w:br/>
        <w:t xml:space="preserve">to reach a conclusion with which this Chamber fully agrees: the aforementioned documentation does not provide added value regarding the information already in the file, lacking sufficient capacity to undermine the abusive nature of the analyzed behaviors.  </w:t>
        <w:br/>
        <w:t xml:space="preserve">(378) Regarding the first document268, this Chamber considers that it does not provide added value, as it refers to the data to be included in the access requests to the transport network for distribution and consumption network facilities established by the aforementioned Resolution of the General Secretariat of Energy of February 11, 2005, which has already been previously referenced in paragraph (51). As analyzed in paragraphs (259) and (270) above, this is information that corresponds to be monitored or supervised by REE and not by LUMINORA269. Therefore, contrary to what the accused company intends, the document in question does not undermine the conclusion that LUMINORA exceeded its functions as IUN by refusing to submit a SCA that included the facilities within the reference perimeter as of July 27, 2020.  </w:t>
        <w:br/>
        <w:t xml:space="preserve">(379) As for the second document270, this Chamber again agrees with the assessment of the instructing body in that the email in question also does not undermine the analysis carried out regarding the infringement of Article 2 LDC, considering the specifics of the present case. The referral to LUMINORA, by SHARK POWER, of the technical documentation of its request, to comply with the SSR Resolution of July 8, 2021, in no way refutes that LUMINORA assumed powers that did not correspond to it as IUN, by carrying out requests for rectification that could only have been made by the network manager, as a pretext to omit the submission of requests that were part of the reference perimeter established by REE and that should, therefore, be processed jointly and coordinated by the IUN (paragraphs (154) to (156) above).  </w:t>
        <w:br/>
        <w:t xml:space="preserve">268 Documentation attached to the allegations to the PCH made by LUMINORA (folios 1442 to 1445).  </w:t>
        <w:br/>
        <w:t xml:space="preserve">269 Resolution of the SSR of the CNMC of July 22, 2020, CFT/DE/114/19: "the law establishes the regime for granting and denying under exclusively technical criteria, corresponding its responsibility and exercise exclusively to the system operator and manager of the transport network" and that "the IUN must limit itself to verifying whether the access request submitted meets the formal requirements, including the deposit of the guarantee. Therefore, there is no reason for the IUN to exclude from the joint and coordinated processing a specific request that formally, as was the case, was complete. No IUN can replace REE by issuing requests for rectification unrelated to formal issues."  </w:t>
        <w:br/>
        <w:t xml:space="preserve">270 Documentation attached to the allegations to the PCH made by LUMINORA (folios 1446 to 1447).  </w:t>
        <w:br/>
        <w:t xml:space="preserve">Comisión Nacional de los Mercados y la Competencia 100 de 110  </w:t>
        <w:br/>
        <w:t xml:space="preserve">C/ Alcalá, 47 – 28014 Madrid - C/ Bolivia, 56 – 08018 Barcelona  </w:t>
        <w:br/>
        <w:t>www.cnmc.es</w:t>
      </w:r>
    </w:p>
    <w:p>
      <w:r>
        <w:t xml:space="preserve">S/0003/23  </w:t>
        <w:br/>
        <w:t xml:space="preserve">LUMINORA  </w:t>
        <w:br/>
        <w:t xml:space="preserve">5.5. Determination of the sanction  </w:t>
        <w:br/>
        <w:t xml:space="preserve">5.5.1. Criteria for imposing fines  </w:t>
        <w:br/>
        <w:t xml:space="preserve">5.5.1.1. General principles  </w:t>
        <w:br/>
        <w:t xml:space="preserve">(380) Regarding the sanction to be applied, the investigated behaviors fall within the prohibited practices of Article 2 of the LDC, as LUMINORA abused its dominant position, as IUN and, therefore, necessary processor of the joint and coordinated access requests to the FAUSITA 400 kV node network, to benefit as a promoter and favor companies of its same business group, which resulted in the exclusion of projects from other operators competing for access to the available capacity at that node.  </w:t>
        <w:br/>
        <w:t xml:space="preserve">(381) Hence, the existence of a very serious infringement has been declared (in accordance with the provisions of Article 62.4.b of the LDC), which may be sanctioned with a fine of up to 10% of the total turnover of the infringing company in the year immediately preceding the imposition of the fine (according to Article 63.1.c of the LDC), which, in this case, corresponds to the year 2022.  </w:t>
        <w:br/>
        <w:t xml:space="preserve">(382) It is necessary to respect the interpretation made by the Supreme Court of the sanctioning regime of the LDC, stated in its judgment of January 29, 2015271 and the application of the principles of efficiency, proportionality, and deterrence, also in accordance with the jurisprudence of the TS and the CJEU.  </w:t>
        <w:br/>
        <w:t xml:space="preserve">(383) Based on these premises, the criteria by which sanctions are determined in our legal system must respect the requirements of Article 64 of the LDC, according to which the amount of the sanctions will be set taking into account, among others, the following criteria:  </w:t>
        <w:br/>
        <w:t xml:space="preserve">a) The size and characteristics of the market affected by the infringement.  </w:t>
        <w:br/>
        <w:t xml:space="preserve">b) The market share of the responsible company or companies.  </w:t>
        <w:br/>
        <w:t xml:space="preserve">c) The scope of the infringement.  </w:t>
        <w:br/>
        <w:t xml:space="preserve">d) The duration of the infringement.  </w:t>
        <w:br/>
        <w:t xml:space="preserve">e) The effect of the infringement on the rights and legitimate interests of consumers and users or on other economic operators.  </w:t>
        <w:br/>
        <w:t xml:space="preserve">f) The illicit benefits obtained as a result of the infringement; and  </w:t>
        <w:br/>
        <w:t xml:space="preserve">g) The aggravating and mitigating circumstances that occur in relation to each of the responsible companies.  </w:t>
        <w:br/>
        <w:t xml:space="preserve">271 Judgment of the TS of January 29, 2015, appeal 2872/2013 (ECLI:ES:TS:2015:112). Also, in the same sense, judgments of the TS of January 30, 2015 (appeals 1476/2014 and 1580/2013), among others.  </w:t>
        <w:br/>
        <w:t xml:space="preserve">Comisión Nacional de los Mercados y la Competencia 101 de 110  </w:t>
        <w:br/>
        <w:t xml:space="preserve">C/ Alcalá, 47 – 28014 Madrid - C/ Bolivia, 56 – 08018 Barcelona  </w:t>
        <w:br/>
        <w:t>www.cnmc.es</w:t>
      </w:r>
    </w:p>
    <w:p>
      <w:r>
        <w:t xml:space="preserve">S/0003/23  </w:t>
        <w:br/>
        <w:t xml:space="preserve">LUMINORA  </w:t>
        <w:br/>
        <w:t xml:space="preserve">(384) Next, the criteria for modulation of the aforementioned Article 64 of the LDC will be assessed for the determination of the amount of the sanction to be imposed on the accused company in this sanctioning file.  </w:t>
        <w:br/>
        <w:t xml:space="preserve">(385) In this process of setting the sanctions, the Council of the CNMC "fulfills its obligation of motivation when it indicates in its decision the elements of appreciation that have allowed it to determine the severity of the infringement, as well as its duration, without being obliged to indicate the numerical data relating to the method of calculating the fine"272.  </w:t>
        <w:br/>
        <w:t xml:space="preserve">(386) In summary, this Chamber must set the sanction to be imposed by evaluating the criteria of the LDC in relation to the principles of efficiency, proportionality, and deterrence and in accordance with the jurisprudence of the TS and the CJEU, taking into account the particularities of the considered infringement.  </w:t>
        <w:br/>
        <w:t xml:space="preserve">5.5.1.2. Application to the case  </w:t>
        <w:br/>
        <w:t xml:space="preserve">(387) The investigated conduct corresponds to a practice prohibited by Article 2 of the LDC, for which LUMINORA and, jointly and severally, its parent SOLTEC, abused its dominant position, as IUN of the FAUSITA 400kV node, to prioritize access to its projects, discriminating against and expelling SHARK POWER's projects in the market for access and connection to the electricity transport network through that node, from July 28, 2020, the date of its designation as IUN, until the Resolution of the Regulatory Supervision Chamber of the CNMC of July 8, 2021.  </w:t>
        <w:br/>
        <w:t xml:space="preserve">(388) In this case, as mentioned earlier, the financial year to be considered for determining the amount of the sanction is that corresponding to the year 2022. Since the total turnover of the company responsible for the conduct (LUMINORA) in that year was 0 euros, the turnover obtained by its parent company SOLTEC will be taken as a reference. According to the information collected, the billing of the parent SOLTEC DEVELOPMENT in 2022 amounted to 12,922,394 euros273.  </w:t>
        <w:br/>
        <w:t xml:space="preserve">(389) In its allegations to the Proposal for Resolution, LUMINORA rejects that the turnover of SOLTEC be taken into account to establish the sanctioning range on which to calculate the sanction to be imposed274. It argues that this is not in accordance with Article 63.1(c) of the LDC, as this provision refers to  </w:t>
        <w:br/>
        <w:t xml:space="preserve">272 Judgment of the CJEU of October 22, 2015, Case C-194/14 P AC-Treuhand AG against European Commission, (ECLI:EU:C:2015:717), cited, among many others, by the Judgment of the TS of June 7, 2021, appeal 5428/2020 (ECLI:ES:TS:2021:2439).  </w:t>
        <w:br/>
        <w:t xml:space="preserve">273 Response from LUMINORA and SOLTEC of July 18, 2023, to the information request from the Competition Directorate of July 14 regarding turnover (folios 1460 to 1462 CONFIDENTIAL).  </w:t>
        <w:br/>
        <w:t xml:space="preserve">274 Paragraphs 385 and following of LUMINORA's allegations to the Proposal for Resolution (folios 1621 to 1685).  </w:t>
        <w:br/>
        <w:t xml:space="preserve">Comisión Nacional de los Mercados y la Competencia 102 de 110  </w:t>
        <w:br/>
        <w:t xml:space="preserve">C/ Alcalá, 47 – 28014 Madrid - C/ Bolivia, 56 – 08018 Barcelona  </w:t>
        <w:br/>
        <w:t>www.cnmc.es</w:t>
      </w:r>
    </w:p>
    <w:p>
      <w:r>
        <w:rPr>
          <w:b/>
        </w:rPr>
        <w:t>[Pages 103–105]</w:t>
      </w:r>
    </w:p>
    <w:p>
      <w:r>
        <w:t xml:space="preserve">S/0003/23  </w:t>
        <w:br/>
        <w:t xml:space="preserve">LUMINORA  </w:t>
        <w:br/>
        <w:t xml:space="preserve">specifically to the turnover of the "infringing company," which would be LUMINORA and not SOLTEC. LUMINORA additionally argues that this would deviate from the criterion followed in the ENEL GREEN case, in which the fine imposed was calculated based on the billing of the IUN, thus violating Article 35.1(c) of Law 39/2015 and the principle of legal certainty enshrined in Article 9.3 of the Constitution.  </w:t>
        <w:br/>
        <w:t xml:space="preserve">(390) In response to the above, it should first be noted that the comparison made by LUMINORA between both cases is not appropriate, given that, in the ENEL GREEN file, the company accused of abusing its dominant position, taking advantage of its status as IUN, did have billing in the year prior to the adoption of the resolution, which allowed for the imposition of two fines totaling 4.9 million euros. Taking into account the specific billing of the ENEL group company acting as IUN allowed, on that occasion, for the imposition of a sanction compatible with the principles of administrative efficiency, proportionality, and deterrence. This would not be the case in the present instance if the thesis maintained by LUMINORA in its allegations were adopted, as the result of using the turnover of that company as a reference would be the imposition of a sanction of 0 euros. In the words of the Supreme Court, it can be stated that the billing of LUMINORA in 2022 in no way constitutes a "factor expressive of the economic capacity of the infringing subject [...] suitable for deducing from it the intensity of the infringing response that consists of the pecuniary sanction"275.  </w:t>
        <w:br/>
        <w:t xml:space="preserve">(391) We must recall, in this regard, that the notion of "company" as an infringing subject of competition law responds to an autonomous, functional, and non-formal concept, specific to this area, which does not necessarily coincide with the legal entity that materially committed the infringing conduct, but can have a much broader dimension. As the CJEU has clarified, "the concept of a company must be understood as designating an economic unit, even if, from a legal point of view, this economic unit is constituted by several natural or legal persons" and that "when such an economic entity infringes the competition rules, it is up to it, in accordance with the principle of personal responsibility, to answer for that infringement"276.  </w:t>
        <w:br/>
        <w:t xml:space="preserve">(392) This concept of "company" as an infringing subject of competition law, which pivots around the principle of economic unity and unity of decision or behavior, has been expressly enshrined in our legal system through the fourth additional provision of the LDC. This provision, drafted based on the jurisprudence of the CJEU, establishes that "[f]or the purposes of this Law, any person or entity that engages in an economic activity is understood to be a company, regardless of the legal status of that entity and its mode of financing."  </w:t>
        <w:br/>
        <w:t xml:space="preserve">(393) Considering the aforementioned possibility that a "company," in the sense of competition law, may be constituted by several legal persons, it is established doctrine that the concept of "company" and, through this, that of "economic unit," entails by law the joint liability of the entities that make up the economic unit at the time of the commission of the infringement277. This doctrine is also directly reflected in our legislation, through Article 61.2 of the LDC, which establishes that, for the purposes of applying this law, "the actions of a company are also attributable to the companies or persons that control it."  </w:t>
        <w:br/>
        <w:t xml:space="preserve">(394) Given that SOLTEC holds 100% of the shares of LUMINORA, and the presumption of control of the first company over the second has not been disproven, both necessarily form part of the same "company" from the perspective of competition law. It is therefore evident that LUMINORA's billing in 2022, amounting to zero euros, in no way constitutes - borrowing the words of the Supreme Court again - a "factor expressive of the economic capacity of the infringing subject [...] suitable for deducing from it the intensity of the infringing response that consists of the pecuniary sanction."  </w:t>
        <w:br/>
        <w:t xml:space="preserve">(395) Thus, taking SOLTEC's billing as a reference to establish the sanctioning framework on which the fine to be imposed for the infringement investigated in the present file should be determined is not only in accordance with the law but should also be considered favorable to the infringing company, to the extent that it could have deepened the perimeter of the "company," adding billing figures from other legal entities that were part of it, thereby raising the aforementioned sanctioning framework.  </w:t>
        <w:br/>
        <w:t xml:space="preserve">(396) In addition to the previous allegation, LUMINORA considers that the proposed sanction is disproportionate because the following relevant circumstances have not been taken into account: (i) the sanctioned company did not obtain illicit profits; (ii) the element of intent is not present; (iii) the duration of the infringement is incorrect; (iiii) the sanctioned conduct was not effectively applied; and (v) the applicable regulation is confusing.  </w:t>
        <w:br/>
        <w:t xml:space="preserve">(397) The arguments that LUMINORA raises to request a reduction of the proposed sanction for being allegedly disproportionate cannot be accepted. Thus, first, the company considers that it did not obtain illicit profits from its conduct, as it did not have the real capacity to expel its competitors from the market. The responsibility to authorize or deny access would be exclusively that of REE. This assertion would not be correct since REE decides how to allocate capacity at each of the nodes depending on the access requests received. If the access requests are modified to favor the interests of a specific company, REE could allocate the capacity without knowing that it is excluding other companies from the market. And that is precisely what has happened in this case.  </w:t>
        <w:br/>
        <w:t xml:space="preserve">(398) Additionally, LUMINORA claims that the element of intent is not present and that if it were considered, it would not be responsible for its conduct due to the lack of clarity of the regulation. This argument must be rejected for the reasons previously addressed to refute the absence of culpability (paragraphs (359) to (365)).  </w:t>
        <w:br/>
        <w:t xml:space="preserve">(399) LUMINORA also considers that the sanction is disproportionate for having set a duration of the infringement greater than what would correspond. Instead of the 11 months considered in the proposed resolution, the duration of the infringement should be limited to the 84 days from July 28 to October 5, the date on which the CNMC admitted the access conflict for processing. This thesis must also be rejected for the reasons indicated in paragraphs (345) to (348)).  </w:t>
        <w:br/>
        <w:t xml:space="preserve">(400) The fourth reason that LUMINORA raises to argue that the proposed sanction is disproportionate is that the DC would not have taken into account Article 64.3.b of the LDC, according to which sanctions could be mitigated if there is no effective application of the prohibited conduct. In response, it should be noted that the conduct was indeed applied effectively, leading to the exclusion of SHARK POWER's facilities in the coordinated access requests submitted by LUMINORA to RRE. This is without prejudice to the fact that the situation could have been redirected thanks to the conflict raised by SHARK POWER, which, in any case, suffered a significant delay in the granting of access to the node as a result of LUMINORA's anticompetitive conduct.  </w:t>
        <w:br/>
        <w:t>(401) Finally, LUMINORA asserts that, subsidiarily, the fact that the regulation places companies in a position of conflict of interest should also be taken into account as a mitigating factor. This situation of conflict of interest would arise from the regulatory design of the IUN, which would also be confusing and incomplete. In relation to this last allegation, it should be noted that, in section 3 of Article 64 of the LDC, the circumstances that will be taken into account for the possible mitigation of sanctions are indicated. Among the reasons considered in the law, the existence of confusing regulation is not included, so it cannot be taken into account for a possible reduction of the sanction. It is also worth noting that, although the applicable regulation may suffer from certain shortcomings, it does not exempt the infringing conduct from liability.</w:t>
      </w:r>
    </w:p>
    <w:p>
      <w:r>
        <w:rPr>
          <w:b/>
        </w:rPr>
        <w:t>[Pages 106–108]</w:t>
      </w:r>
    </w:p>
    <w:p>
      <w:r>
        <w:t xml:space="preserve">S/0003/23  </w:t>
        <w:br/>
        <w:t xml:space="preserve">LUMINORA  </w:t>
        <w:br/>
        <w:t xml:space="preserve">shortcomings and the company may have a conflict of interest (in its dual role as promoter and necessary processor of the requests), its designation as IUN - which LUMINORA itself requested on its own initiative - conferred upon it a special responsibility that obliged it to act in a particularly careful and rigorous manner. However, LUMINORA, as reflected in the proven facts, failed to fulfill this responsibility by contravening the functions and basic principles of the IUN figure, the content of which is indeed evident. It is therefore unacceptable for it to seek to hold the applicable regulation responsible for its actions.  </w:t>
        <w:br/>
        <w:t xml:space="preserve">(402) The modulation criteria provided in Article 64 of the LDC for determining the amount of the sanction are evaluated below, taking into account the particularities of the infringement considered.  </w:t>
        <w:br/>
        <w:t xml:space="preserve">(403) Regarding the size and characteristics of the market affected by the infringement (art. 64.1.a of the LDC), the conduct took place in the market for access and connection to the electricity transmission network at the FAUSITA 400 kV node, with effects on the related market of electricity generation.  </w:t>
        <w:br/>
        <w:t xml:space="preserve">(404) Regarding the market share (art. 64.1.b), the figure of the IUN has a privileged position as the necessary processor of access to a given node of the electricity transmission network, which is attributed to it by Annex XV of Royal Decree 413/2014. The designation of LUMINORA as IUN of the FAUSITA 400 kV node confers upon it a dominant position in access to the node, and therefore, at the same time, the special responsibility to ensure not only joint and coordinated processing but also equal and non-discriminatory processing, given that it is an exception to the general rule of individual requests.  </w:t>
        <w:br/>
        <w:t xml:space="preserve">(405) Regarding the scope and duration of the infringement (art. 64.1.c), the conduct constitutes a very serious infringement prohibited by Article 2 LDC, as it affects a specific node of the electricity transmission network with an impact on the national generation market.  </w:t>
        <w:br/>
        <w:t xml:space="preserve">(406) The duration of the infringement (art. 64.1.d) spans the period from July 28, 2020, until the SSR Resolution of July 8, 2021, regarding conflict CFT/DE/134/20, that is, 11 months.  </w:t>
        <w:br/>
        <w:t xml:space="preserve">(407) Regarding the possible effects of the infringement (art. 64.1.e) on consumers and economic operators and the possible illicit benefit obtained (art. 64.1.f), the conduct had the actual effect of expelling the company SHARK POWER from the market for access to the electricity transmission network at the FAUSITA 400 kV node, with this situation remaining until the SSR issued the Resolution dated July 8, 2021, in the conflict CFT/DE/0134/20 raised by the affected company.  </w:t>
        <w:br/>
        <w:t xml:space="preserve">S/0003/23  </w:t>
        <w:br/>
        <w:t xml:space="preserve">LUMINORA  </w:t>
        <w:br/>
        <w:t xml:space="preserve">(408) Regarding the aggravating and mitigating circumstances (arts. 64.2 and 64.3 LDC), this Chamber does not perceive any mitigating or aggravating circumstances that should be taken into account in accordance with Article 64 LDC to set the amount of the sanction.  </w:t>
        <w:br/>
        <w:t xml:space="preserve">5.5.2. Fine  </w:t>
        <w:br/>
        <w:t xml:space="preserve">(409) The set of factors outlined above - severity of the infringement, characteristics and size of the affected market, duration, geographical scope of the conduct, participation of the infringers in the conduct, effects, absence of mitigating and aggravating factors - leads this Chamber to specify the total sanctioning rate that corresponds to apply to the infringing entity at 3% of the total turnover of the company within the range provided in Article 63.1 of the LDC for very serious infringements.  </w:t>
        <w:br/>
        <w:t xml:space="preserve">(410) This sanctioning rate is appropriate to the severity and characteristics of the infringement incurred by LUMINORA. However, the jurisprudence requires considering the dimension of the specific infringement as a necessary reference to ensure the proportionality and deterrence of the fines.  </w:t>
        <w:br/>
        <w:t xml:space="preserve">(411) To carry out any assessment of proportionality and deterrence, it is necessary to estimate the illicit benefit that the infringing entity could have obtained from the unlawful conduct under very prudent assumptions, and apply an incremental deterrence factor to it. This estimate is used as a reference value, above which it is considered that the fine could be disproportionate.  </w:t>
        <w:br/>
        <w:t xml:space="preserve">(412) In this case, the necessary information to verify the proportionality of the sanction according to what is provided in section III of the Provisional Guidelines (paragraphs 15-19) has not been available. More specifically, the company has not been able to provide information regarding the turnover in the affected market during the infringement (VNMA), since the plant of which it is the promoter is not operational. Neither LUMINORA nor any of the subsidiaries of the SOLTEC group have any facility of similar dimensions, capacity, and location that has been operational during the period of the infringement278. Therefore, it has been necessary to estimate the energy that LUMINORA could have produced from the power it would have installed if SHARK POWER had not filed an access conflict.  </w:t>
        <w:br/>
        <w:t xml:space="preserve">278 Letter from LUMINORA dated September 1, 2023, in response to the information request from the DC (pages 1485 to 1490)  </w:t>
        <w:br/>
        <w:t xml:space="preserve">S/0003/23  </w:t>
        <w:br/>
        <w:t xml:space="preserve">LUMINORA  </w:t>
        <w:br/>
        <w:t xml:space="preserve">(413) The file contains information regarding the requested power that LUMINORA wanted to install at the node affected by the conduct (250kV)279. In addition, the CNMC publishes monthly statistics regarding electricity production from renewables, cogeneration, and waste280. In these statistical reports, the energy sold (GWh) is related to the installed power (MW) on an annual basis. This information can also be broken down by type of technology and autonomous community. To make this estimate, the capacity of the node that would have been assigned to LUMINORA, the relationship between the energy sold and the installed power in photovoltaic plants in the Murcia region281, as well as the energy market prices during the infringement period have been taken into account.  </w:t>
        <w:br/>
        <w:t xml:space="preserve">(414) Based on this information, it has been possible to estimate how much energy LUMINORA could have generated and sold with the power it wanted to install at that node until the end of the infringement due to the Resolution of the conflict raised by SHARK POWER before the CNMC. This amount has been multiplied by the average daily spot market price in Spain, allowing for an estimate of the maximum revenue that the infringing company could have obtained during the duration of the infringement.  </w:t>
        <w:br/>
        <w:t xml:space="preserve">(415) Based on the estimated reference value of proportionality, this Chamber considers that the fine that would correspond to impose on LUMINORA SOLAR DOCE for the infringement, derived from applying the sanctioning rate of 3% on the total turnover of its parent company in 2022, does not run the risk of being in any way disproportionate in relation to the effective dimension of the infringement.  </w:t>
        <w:br/>
        <w:t xml:space="preserve">(416) For all the above reasons, this Chamber concludes that the proportionate and deterrent sanction that should be imposed on the infringing company amounts to 387,672 euros for the infringement of Article 2 LDC attributed.  </w:t>
        <w:br/>
        <w:t xml:space="preserve">5.6. Prohibition of contracting  </w:t>
        <w:br/>
        <w:t xml:space="preserve">(417) Article 71.1.b) of Law 9/2017, of November 8, on Public Sector Contracts (LCSP) provides that those subject to a prohibition on contracting with the  </w:t>
        <w:br/>
        <w:t xml:space="preserve">279 Initial application registration of LUMINORA dated June 24, 2020. Information provided by LUMINORA in allegations to file CFT/DE/134/20, incorporated into the reference file by means of testimony deduction (pages 350 to 352). Communication of designation of the IUN. Information provided by LUMINORA in response to the information request made by the Directorate of Competition (page 26), as well as in allegations to file CFT/DE/134/20, incorporated into the reference file by means of testimony deduction (pages 496 to 498).  </w:t>
        <w:br/>
        <w:t xml:space="preserve">280 https://www.cnmc.es/estadistica/informacion-mensual-de-estadisticas-sobre-produccion-de-energia-electrica-partir-de-20  </w:t>
        <w:br/>
        <w:t>281 This information can be consulted in the monthly statistics on electricity production from renewables, cogeneration, and waste published by the CNMC at the following address: https://www.cnmc.es/estadistica/informacion-mensual-de-estadisticas-sobre-produccion-de-energia-electrica-partir-de-20.</w:t>
      </w:r>
    </w:p>
    <w:p>
      <w:r>
        <w:rPr>
          <w:b/>
        </w:rPr>
        <w:t>[Pages 109–110]</w:t>
      </w:r>
    </w:p>
    <w:p>
      <w:r>
        <w:t xml:space="preserve">S/0003/23  </w:t>
        <w:br/>
        <w:t xml:space="preserve">LUMINORA  </w:t>
        <w:br/>
        <w:t xml:space="preserve">entities that are part of the public sector individuals who have been firmly sanctioned for serious infringement in the area of distortion of competition. The Supreme Court indicates that the prohibition on contracting due to distortion of competition is a limitation linked to the imposition of a firm sanction282.  </w:t>
        <w:br/>
        <w:t xml:space="preserve">(418) In this resolution, which concludes the sanctioning procedure and against which there is no administrative appeal, the responsibility of the company LUMINORA and its parent SOLTEC is declared for an abuse of dominant position typified in Article 2 of the LDC, which must be classified as a very serious infringement in application of Article 62.4 of the LDC. We are, therefore, facing an infringement of distortion of competition for the purposes of the aforementioned Article 71.1.b) of the LCSP that should lead to the declaration of the aforementioned prohibition on contracting.  </w:t>
        <w:br/>
        <w:t xml:space="preserve">(419) It is worth noting that national regulations, incorporating European directives on the matter, establish instruments available to companies to avoid being excluded from contracting procedures, through self-correction measures or "self-cleaning" (Article 72.5 LCSP).  </w:t>
        <w:br/>
        <w:t xml:space="preserve">(420) However, neither LUMINORA SOLAR DOCE nor its parent, SOLTEC DEVELOPMENT, have demonstrated, within the framework of this file, that they have compliance programs that show their willingness to comply with competition defense, nor have they adopted appropriate technical, organizational, and personnel measures to prevent the commission of future infringements of competition regulations.  </w:t>
        <w:br/>
        <w:t xml:space="preserve">(421) For all the above reasons and in the absence of such measures that can be taken into consideration, this Chamber considers that the prohibition on contracting for these companies should be declared, following the provisions of the aforementioned Article 71.1.b) of the LCSP.  </w:t>
        <w:br/>
        <w:t xml:space="preserve">(422) This resolution does not set the duration and scope of the prohibition on contracting. Therefore, such aspects must be determined through the procedure processed in accordance with Article 72.2 LCSP. To this end, it is agreed to send a certification of this resolution to the State Public Procurement Advisory Board.  </w:t>
        <w:br/>
        <w:t xml:space="preserve">6. RESOLVES  </w:t>
        <w:br/>
        <w:t xml:space="preserve">First. To declare the existence of a very serious infringement of Article 2 of the LDC, consisting of an abuse of dominant position by LUMINORA SOLAR DOCE, S.L., in its capacity as designated IUN in the FAUSITA 400 kV node, consisting of prioritizing access to the node for its projects and those of its business group, discriminating against the projects of third competitors in the Spanish market for access and connection to the electricity transmission network at that node.  </w:t>
        <w:br/>
        <w:t xml:space="preserve">Second. To declare LUMINORA SOLAR DOCE, S.L., in its capacity as IUN in the FAUSITA 400 kV node, responsible for this infringement and jointly liable, its parent, SOLTEC DEVELOPMENT, S.A.  </w:t>
        <w:br/>
        <w:t xml:space="preserve">Third. To impose a fine of 387,672 euros, for which LUMINORA SOLAR DOCE, S.L., and SOLTEC DEVELOPMENT, S.A. will be jointly responsible.  </w:t>
        <w:br/>
        <w:t xml:space="preserve">Fourth. To urge LUMINORA SOLAR DOCE, S.L. to refrain from engaging in conduct similar to that typified and sanctioned in this resolution in the future.  </w:t>
        <w:br/>
        <w:t xml:space="preserve">Fifth. In accordance with what is stated in the legal basis 5.6, to send this resolution to the State Public Procurement Advisory Board for the appropriate purposes.  </w:t>
        <w:br/>
        <w:t xml:space="preserve">Sixth. To urge the Competition Directorate to monitor the full compliance with this resolution.  </w:t>
        <w:br/>
        <w:t>Communicate this Resolution to the Competition Directorate of the National Commission of Markets and Competition and notify the interested parties, informing them that there is no administrative appeal against it, being able to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