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https://www.cnmc.es/expedientes/s000421</w:t>
      </w:r>
    </w:p>
    <w:p>
      <w:r>
        <w:t>Pages translated : 21</w:t>
      </w:r>
    </w:p>
    <w:p/>
    <w:p>
      <w:r>
        <w:rPr>
          <w:b/>
        </w:rPr>
        <w:t>[Pages 1–3]</w:t>
      </w:r>
    </w:p>
    <w:p>
      <w:r>
        <w:t xml:space="preserve">S/0004/21  </w:t>
        <w:br/>
        <w:t xml:space="preserve">DENIAL OF LICENSE FOR EXPLOITATION OF DALÍ'S WORK  </w:t>
        <w:br/>
        <w:t xml:space="preserve">AGREEMENT OF NON-INITIATION AND FILING OF PROCEEDINGS  </w:t>
        <w:br/>
        <w:t xml:space="preserve">S/DC/004/21  </w:t>
        <w:br/>
        <w:t xml:space="preserve">DENIAL OF LICENSE FOR EXPLOITATION OF DALÍ'S WORK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February 21, 2024  </w:t>
        <w:br/>
        <w:t xml:space="preserve">The Competition Chamber of the Council of the National Commission of Markets and Competition (CNMC) with the expressed composition, has issued the following resolution in the referenced procedure processed by the Directorate of Competition for alleged anti-competitive practices contrary to Article 2 of Law 15/2007, of July 3, on the Defense of Competition (LDC).  </w:t>
        <w:br/>
        <w:t xml:space="preserve">National Commission of Markets and Competition 1 of 21  </w:t>
        <w:br/>
        <w:t xml:space="preserve">C/ Alcalá, 47 – 28014 Madrid - C/ Bolivia, 56 – 08018 Barcelona  </w:t>
        <w:br/>
        <w:t>www.cnmc.es</w:t>
      </w:r>
    </w:p>
    <w:p>
      <w:r>
        <w:t xml:space="preserve">S/0004/21  </w:t>
        <w:br/>
        <w:t xml:space="preserve">DENIAL OF LICENSE FOR EXPLOITATION OF DALÍ'S WORK  </w:t>
        <w:br/>
        <w:t xml:space="preserve">TABLE OF CONTENTS  </w:t>
        <w:br/>
        <w:t xml:space="preserve">1. BACKGROUND ........................................................................................ 2  </w:t>
        <w:br/>
        <w:t xml:space="preserve">2. THE PARTIES .......................................................................................... 3  </w:t>
        <w:br/>
        <w:t xml:space="preserve">Complainant: Mr. JCC .............................................................................. 3  </w:t>
        <w:br/>
        <w:t xml:space="preserve">Reported: Gala-Salvador Dalí Foundation ................................................. 4  </w:t>
        <w:br/>
        <w:t xml:space="preserve">3. REGULATORY FRAMEWORK ................................................................ 4  </w:t>
        <w:br/>
        <w:t xml:space="preserve">4. AFFECTED MARKET .............................................................................. 8  </w:t>
        <w:br/>
        <w:t xml:space="preserve">Principles ................................................................................................ 8  </w:t>
        <w:br/>
        <w:t xml:space="preserve">4.1.1. Product Market ............................................................................................. 8  </w:t>
        <w:br/>
        <w:t xml:space="preserve">4.1.2. Geographic Market ....................................................................................... 9  </w:t>
        <w:br/>
        <w:t xml:space="preserve">Application of the principles to this case ................................................ 9  </w:t>
        <w:br/>
        <w:t xml:space="preserve">4.2.1. Product Market ............................................................................................. 9  </w:t>
        <w:br/>
        <w:t xml:space="preserve">4.2.2. Geographic Market ...................................................................................... 12  </w:t>
        <w:br/>
        <w:t xml:space="preserve">5. REPORTED FACTS ................................................................................ 13  </w:t>
        <w:br/>
        <w:t xml:space="preserve">6. LEGAL GROUNDS ................................................................................ 15  </w:t>
        <w:br/>
        <w:t xml:space="preserve">Competence to Resolve ........................................................................ 15  </w:t>
        <w:br/>
        <w:t xml:space="preserve">Proposal of the instructing body ............................................................ 16  </w:t>
        <w:br/>
        <w:t xml:space="preserve">Assessment of the Competition Chamber ........................................... 16  </w:t>
        <w:br/>
        <w:t xml:space="preserve">7. AGREEMENT OF NON-INITIATION AND FILING OF PROCEEDINGS . 21  </w:t>
        <w:br/>
        <w:t xml:space="preserve">1. BACKGROUND  </w:t>
        <w:br/>
        <w:t xml:space="preserve">(1) On January 22, 2021, the legal representatives of a private seller of works of art filed a complaint with the Catalan Authority for Competition (ACCO) against the Gala-Salvador Dalí Foundation (hereinafter, the FOUNDATION) for alleged infringement of Article 2 of Law 15/2007, of July 3, on the Defense of Competition (LDC).  </w:t>
        <w:br/>
        <w:t xml:space="preserve">(2) The subject of the complaint is the denial, which is deemed unjustified, of a license to the now complainant for the exploitation rights over the images of a sketch created by Dalí and owned by the complainant, for commercial exploitation (through the manufacture and marketing in the form of furniture) of the six sculptural works it contains. The complaint is accompanied by a series of annexes evidencing the negotiations carried out between the complainant and the FOUNDATION. The denial would initially be limited to one of the six works (the so-called Sofa Lips) and subsequently to the entirety of the project.  </w:t>
        <w:br/>
        <w:t xml:space="preserve">(3) In the framework of the analysis of this complaint, the General Directorate of the ACCO initiated a preliminary investigation. However, in accordance with the procedure established in Law 1/2002, of February 21, on the Coordination of the Competences of the State and the Autonomous Communities in matters of Defense of Competition, on March 14, 2021, the ACCO transferred the file to the National Commission of Markets and Competition (CNMC), notifying the complainant.  </w:t>
        <w:br/>
        <w:t xml:space="preserve">(4) In order to determine the reality of the reported facts and whether there might be indications of infringement that would justify the initiation of a sanctioning procedure, the Directorate of Competition initiated a reserved inquiry, in accordance with the provisions of Article 49.2 of the LDC, with file number S/0004/21, to which the complaint and the attached information provided by the complainant were incorporated.  </w:t>
        <w:br/>
        <w:t xml:space="preserve">(5) On January 31, 2024, the Directorate of Competition, in application of the provisions of Article 49.3 of the LDC, issued a proposal for non-initiation of a sanctioning procedure and for the filing of the proceedings, considering that the reported facts did not show indications of infringement of the LDC.  </w:t>
        <w:br/>
        <w:t xml:space="preserve">(6) The Competition Chamber of the Council of the CNMC has deliberated and ruled on the matter in its meeting of February 21, 2024.  </w:t>
        <w:br/>
        <w:t xml:space="preserve">2. THE PARTIES  </w:t>
        <w:br/>
        <w:t xml:space="preserve">Complainant: Mr. JCC  </w:t>
        <w:br/>
        <w:t xml:space="preserve">(7) The complainant is a private individual residing in Murcia dedicated, among other activities, to the sale of works of art in his own name. It is stated in the complaint that on February 6, 2008, Mr. JCC acquired a sketch titled “Anthropomorphic Powder Room” created in 1957 by Salvador Dalí i Domènech. The sketch "contained images of six sculptural works, conceived for furniture or interior decoration use, from a project called 'Dalí Night'."  </w:t>
        <w:br/>
        <w:t xml:space="preserve">1 In accordance with Article 20 of Law 1/2009, of February 12, of the Catalan Authority for Competition, Article 39 of the LDC, as well as Article 17 of the Competition Defense Regulation, approved by Royal Decree 261/2008, of February 22, all relating to the duty of cooperation of any natural or legal person with the ACCO, an information request was made to the FOUNDATION, which was attended to by it.  </w:t>
        <w:br/>
        <w:t xml:space="preserve">2 A copy of the sketch is provided as attached documentation to the complaint.  </w:t>
        <w:br/>
        <w:t xml:space="preserve">National Commission of Markets and Competition 3 of 21  </w:t>
        <w:br/>
        <w:t xml:space="preserve">C/ Alcalá, 47 – 28014 Madrid - C/ Bolivia, 56 – 08018 Barcelona  </w:t>
        <w:br/>
        <w:t>www.cnmc.es</w:t>
      </w:r>
    </w:p>
    <w:p>
      <w:r>
        <w:rPr>
          <w:b/>
        </w:rPr>
        <w:t>[Pages 4–6]</w:t>
      </w:r>
    </w:p>
    <w:p>
      <w:r>
        <w:t xml:space="preserve">S/0004/21  </w:t>
        <w:br/>
        <w:t xml:space="preserve">DENIAL OF LICENSE FOR EXPLOITATION OF DALÍ WORK  </w:t>
        <w:br/>
        <w:t>Reported: Gala-Salvador Dalí Foundation</w:t>
      </w:r>
    </w:p>
    <w:p>
      <w:r>
        <w:t>(8) The Gala-Salvador Dalí Foundation (hereinafter, the FOUNDATION) is a private cultural entity, created in 1983 and based in Figueres (Girona), whose mission is to promote, foster, disseminate, enhance, protect, and defend the artistic, cultural, and intellectual work of the painter Dalí, as well as to manage the Dalí Theatre-Museum in Figueres, the Gala Dalí Castle in Púbol, and the Salvador Dalí House in Portlligat, Girona.</w:t>
      </w:r>
    </w:p>
    <w:p>
      <w:r>
        <w:t>(9) The FOUNDATION has received exclusively from the Spanish State, the ultimate holder of the rights to Dalí's work as his universal heir, the exercise of the powers of administration and exploitation of such rights, by virtue of various provisions, the current one being Order CUL/2911/2011, of October 10.</w:t>
      </w:r>
    </w:p>
    <w:p>
      <w:r>
        <w:t>(10) The main governing body of the FOUNDATION is its Board of Trustees, composed of twenty-one members. The complaint emphasizes that among the members of the Board of Trustees is Mr. (personal data), who is also a member of the Artistic Commission of the FOUNDATION. Mr. (personal data) is an attorney for a company named BD Barcelona 1972 S.L. (“BD BARCELONA”), which has been engaged since 1972 in the design, manufacture, and marketing of designer furniture and interior decoration objects for homes, hotels, restaurants, and public places, through design stores and art galleries. Among the pieces of furniture based on Dalí's designs marketed by BD BARCELONA, based on the exclusive license granted by the FOUNDATION, is the “Dalilips” sofa, inspired by the famous “Lips” sofa, which was designed in 1972 by Salvador Dalí together with Mr. (personal data). BD BARCELONA exclusively markets this piece.</w:t>
      </w:r>
    </w:p>
    <w:p>
      <w:r>
        <w:t xml:space="preserve">3. NORMATIVE FRAMEWORK  </w:t>
        <w:br/>
        <w:t>(11) In Spain, intellectual property rights are regulated by Royal Legislative Decree 1/1996, of April 12, which approves the Consolidated Text of the Intellectual Property Law, regulating, clarifying, and harmonizing the current legal provisions on the matter (TRLPI). This regulation has undergone numerous reforms since its publication in 1996.</w:t>
      </w:r>
    </w:p>
    <w:p>
      <w:r>
        <w:t>(12) Copyright refers to the intellectual property rights attributed to creators over their literary, artistic, or scientific works expressed by any means or medium, tangible or intangible, currently known or invented in the future. The intellectual property of a literary, artistic, or scientific work belongs to the author by the mere fact of its creation, being presumed the author, unless proven otherwise, who appears as such in the work, by means of their name, signature, or sign that identifies them.</w:t>
      </w:r>
    </w:p>
    <w:p>
      <w:r>
        <w:t xml:space="preserve">(13) According to the provisions of the TRLPI, intellectual property consists of personal and economic rights, which grant the author full disposition and exclusive rights to exploit the work, with no limitations other than those established by law. In this sense, the content of intellectual property rights is classified into two categories:  </w:t>
        <w:br/>
        <w:t xml:space="preserve">Personal or moral rights: of an inalienable and non-renounceable nature, moral rights are recognized to authors and performing artists, consisting of the powers provided for in Article 14 of the TRLPI, which can be summarized in the right of these subjects to be recognized in their condition as authors of their work and to control the integrity of it. The condition of “author” is non-renounceable, cannot be transferred inter vivos or mortis causa, does not extinguish with the passage of time, nor does it enter the public domain or is subject to prescription.  </w:t>
        <w:br/>
        <w:t>Economic rights: these are those that grant the holder the exclusive right to exploit the work and over which the author has full disposition, being able to be the subject of legal transactions such as the transfer in accordance with the provisions of Title V of the TRLPI. Within this category, a distinction can be made between “exploitation rights” (which are detailed below) and “other economic rights.”</w:t>
      </w:r>
    </w:p>
    <w:p>
      <w:r>
        <w:t>(14) In relation to exploitation rights, Article 17 of the TRLPI expressly enumerates four specific modalities: “the rights of reproduction, distribution, public communication, and transformation,” establishing that the exclusive exercise of these rights, as well as any other exploitation rights of the work in any form, corresponds to its author. Therefore, to carry out any act of exploitation of the same, it will be necessary to have the authorization of the author, who may prohibit or authorize its exploitation to third parties in exchange (or not) for an agreed consideration, except in those cases in which the TRLPI itself dispenses with the need to obtain such authorization.</w:t>
      </w:r>
    </w:p>
    <w:p>
      <w:r>
        <w:t>(15) Likewise, among the other economic rights would be the so-called “remuneration rights,” which, unlike exploitation rights, do not empower their holder to authorize or prohibit acts of exploitation by third parties, although they do obligate the user of the works to pay a monetary amount for the acts of exploitation they carry out.</w:t>
      </w:r>
    </w:p>
    <w:p>
      <w:r>
        <w:t>(16) The exploitation rights over protected works can be transferred by inter vivos acts, with the scope of the object of the assignment of the right or rights assigned limited to the specific modalities of exploitation expressly provided for in the contract. As for the time and territorial scope of the assignment, this will be determined in the contract itself and, in the absence of such mention, the transmission will be limited to five years and the territorial scope to the country in which the assignment is made.</w:t>
      </w:r>
    </w:p>
    <w:p>
      <w:r>
        <w:t>(17) Article 45 of the TRLPI requires that any assignment of intellectual property rights be formalized in writing. Regarding exclusive assignment, this must be expressly granted with this character (“exclusive”) and will attribute to the assignee the power to exploit the work within the scope of the assignment to the exclusion of third parties, including the assignor themselves, and to grant non-exclusive authorizations to third parties, unless there is an agreement to the contrary in this regard. On the other hand, the transfer to a third party of their right by the exclusive assignee will require the express consent of the assignor.</w:t>
      </w:r>
    </w:p>
    <w:p>
      <w:r>
        <w:t xml:space="preserve">(18) The type of license that the now complainant requests from the FOUNDATION is regulated, among others, by Articles 17, 18, and 21 of the TRLPI.  </w:t>
        <w:br/>
        <w:t xml:space="preserve">Article 17. Exclusive right of exploitation and its modalities.  </w:t>
        <w:br/>
        <w:t>The author has the exclusive exercise of the exploitation rights of their work in any form and, in particular, the rights of reproduction, distribution, public communication, and transformation, which may not be carried out without their authorization, except in the cases provided for in this Law.</w:t>
      </w:r>
    </w:p>
    <w:p>
      <w:r>
        <w:t xml:space="preserve">(…)  </w:t>
        <w:br/>
        <w:t xml:space="preserve">Article 18. Reproduction.  </w:t>
        <w:br/>
        <w:t>Reproduction is understood as the direct or indirect, provisional or permanent fixation, by any means and in any form, of the entire work or part of it, which allows its communication or the obtaining of copies.</w:t>
      </w:r>
    </w:p>
    <w:p>
      <w:r>
        <w:t xml:space="preserve">(…)  </w:t>
        <w:br/>
        <w:t xml:space="preserve">Article 21. Transformation.  </w:t>
        <w:br/>
        <w:t xml:space="preserve">1. The transformation of a work includes its translation, adaptation, and any other modification in its form from which a different work derives.  </w:t>
        <w:br/>
        <w:t xml:space="preserve">[…].  </w:t>
        <w:br/>
        <w:t>2. The intellectual property rights of the work resulting from the transformation will correspond to the author of this latter work, without prejudice to the right of the author of the pre-existing work to authorize, during the entire protection period of their rights over it, the exploitation of those results in any form and especially through its reproduction, distribution, public communication, or new transformation.</w:t>
      </w:r>
    </w:p>
    <w:p>
      <w:r>
        <w:rPr>
          <w:b/>
        </w:rPr>
        <w:t>[Pages 7–9]</w:t>
      </w:r>
    </w:p>
    <w:p>
      <w:r>
        <w:t xml:space="preserve">S/0004/21  </w:t>
        <w:br/>
        <w:t xml:space="preserve">DENIAL OF LICENSE FOR EXPLOITATION OF DALÍ WORK  </w:t>
        <w:br/>
        <w:t xml:space="preserve">(19) The FOUNDATION is authorized to grant licenses, in principle non-exclusive, although such type of license is permissible, in accordance with Order CUL/2911/2011, of October 10:  </w:t>
        <w:br/>
        <w:t xml:space="preserve">Article 4. Powers of the "Gala-Salvador Dalí" Foundation. The "Gala-Salvador Dalí" Foundation is specifically empowered to: a) Grant non-exclusive licenses and authorizations to third parties in order to enable any modality of exploitation of the rights subject to assignment and/or mandate and, only exceptionally, in the specific cases provided for in the Contract between the Foundation and the State that develops this order or, where applicable, prior agreement of the Monitoring Commission, exclusive licenses and authorizations in order to enable any modality of exploitation or, where applicable, collective management of the rights whose exploitation is entrusted to the Foundation. Information on the exclusive licenses granted under the Contract between the Foundation and the State that develops this order will be provided to the Ministry of Culture through the Monitoring Commission, by means of the corresponding report that the Foundation will prepare on this particular matter.  </w:t>
        <w:br/>
        <w:t xml:space="preserve">(20) In the FOUNDATION's Report for 2021 it is indicated:  </w:t>
        <w:br/>
        <w:t xml:space="preserve">The Foundation manages, worldwide, the reproduction rights of the works, texts, and images of Salvador Dalí. For the management of reproduction rights of works, the support of the VEGAP Society is available, which channels requests in Spain and those from its associated entities abroad.  </w:t>
        <w:br/>
        <w:t xml:space="preserve">(21) In its 2022 Report, the FOUNDATION indicates:  </w:t>
        <w:br/>
        <w:t xml:space="preserve">Through the management of rights, the Dalí Foundation protects and values the intellectual property and all the rights of the artist. To carry out this task, it has the support of VEGAP and its network of international societies. VEGAP transfers the already filtered information and works alongside the Foundation's team to document each request.  </w:t>
        <w:br/>
        <w:t xml:space="preserve">(22) And in the 2019 Report it is noted [emphasis added]:  </w:t>
        <w:br/>
        <w:t>The Marketing Department attends to all requests from companies interested in developing commercial projects that involve the use of rights related to Dalí. These requests are studied and evaluated and, subsequently, are either processed or dismissed based on whether they meet the commercial, quality, and design criteria established by the Foundation.</w:t>
      </w:r>
    </w:p>
    <w:p>
      <w:r>
        <w:t xml:space="preserve">S/0004/21  </w:t>
        <w:br/>
        <w:t xml:space="preserve">DENIAL OF LICENSE FOR EXPLOITATION OF DALÍ WORK  </w:t>
        <w:br/>
        <w:t xml:space="preserve">4. AFFECTED MARKET  </w:t>
        <w:br/>
        <w:t xml:space="preserve">Principles  </w:t>
        <w:br/>
        <w:t xml:space="preserve">4.1.1. Product Market  </w:t>
        <w:br/>
        <w:t xml:space="preserve">(43) The concept of product market implies that there is effective competition among the products or services that are part of it, due to the fact that, considering the specific use of these products or services, there is a sufficient degree of substitutability among them.  </w:t>
        <w:br/>
        <w:t xml:space="preserve">(44) An analysis of this type cannot be limited to examining the objective characteristics of the products and services in question, but must also take into account the competitive conditions and the structure of supply and demand.  </w:t>
        <w:br/>
        <w:t xml:space="preserve">(45) In this regard, companies are subject to three main sources of competitive pressures: demand substitutability, supply substitutability, and potential competition.  </w:t>
        <w:br/>
        <w:t xml:space="preserve">(46) From an economic perspective, for the definition of the product market, demand substitutability is the most immediate and effective means of restricting the behavior of suppliers of a particular product. Thus, the substitutability of products or services for the purposes of defining the relevant market must be assessed primarily from the perspective of consumer demand.  </w:t>
        <w:br/>
        <w:t xml:space="preserve">(47) From this perspective, the factors that may be taken into account include the nature and technical characteristics of the products or services in question, consumer preferences, switching costs and barriers, observed facts in the market, the history of the development of such products or services, and also the business practices of the company. Furthermore, the existence in the market of independent companies specialized in the manufacture and sale of the product or service is an "important indication" of the existence of a distinct market for that product or service.  </w:t>
        <w:br/>
        <w:t xml:space="preserve">(48) On the other hand, supply substitutability may also be considered when defining markets in certain cases (particularly in cases where its effects are equivalent to those of demand substitutability in terms of effectiveness and immediate response). There is supply substitutability when suppliers can switch to producing the reference products and marketing them in the short term, without incurring significant additional costs or risks, in response to small relative changes in prices or demand conditions. When these conditions are met, the additional production that is marketed will have a restrictive effect on the competitive behavior of the affected companies.  </w:t>
        <w:br/>
        <w:t xml:space="preserve">(49) The third source of competitive pressure, potential competition, is not taken into account for the definition of the market, since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reference market has been determined and that position raises issues from the perspective of competition.  </w:t>
        <w:br/>
        <w:t xml:space="preserve">4.1.2. Geographic Market  </w:t>
        <w:br/>
        <w:t xml:space="preserve">(50) The relevant geographic market comprises the area in which the affected companies carry out activities of supplying the products and providing the services in question, in which the competitive conditions are sufficiently homogeneous and which can be distinguished from other nearby geographic areas due to, in particular, the fact that the prevailing competitive conditions therein are significantly different from those.  </w:t>
        <w:br/>
        <w:t xml:space="preserve">Application of the principles to this case  </w:t>
        <w:br/>
        <w:t xml:space="preserve">4.2.1. Product Market  </w:t>
        <w:br/>
        <w:t>(51) The conduct reported and analyzed in this file relates to the manner in which the FOUNDATION would have exercised its powers.</w:t>
      </w:r>
    </w:p>
    <w:p>
      <w:r>
        <w:rPr>
          <w:b/>
        </w:rPr>
        <w:t>[Pages 10–12]</w:t>
      </w:r>
    </w:p>
    <w:p>
      <w:r>
        <w:t xml:space="preserve">S/0004/21  </w:t>
        <w:br/>
        <w:t xml:space="preserve">DENIAL OF LICENSE FOR EXPLOITATION OF DALÍ WORK  </w:t>
        <w:br/>
        <w:t xml:space="preserve">to grant or deny authorizations for the reproduction and/or transformation of Dalí's plastic work.  </w:t>
        <w:br/>
        <w:t xml:space="preserve">(52) This file affects a possible downstream market for granting authorizations and remuneration for copyright for the exploitation of plastic works, in which the complainant would act as a license applicant, as well as the broad market for the manufacture and sale of furniture, a market in which manufacturers and sellers, such as the current complainant, act as suppliers, and the public acts as demanders.  </w:t>
        <w:br/>
        <w:t xml:space="preserve">(53) The traditional analysis conducted when dealing with entities managing intellectual property rights does not apply in this case since, in the case of the FOUNDATION, which does not hold the status of a management entity or an independent management operator, there is no competition for the acquisition of intellectual property rights for the configuration of the "repertoire," that is, the works whose rights are managed by the FOUNDATION, as this is automatically composed of all the works of Salvador Dalí. It is not part of the FOUNDATION's purpose to acquire new rights holders, contrary to what happens with management entities, whose objective and aspiration is to increase their repertoire as this enhances attractiveness for users and the possibility of entering into new licensing contracts, which in turn facilitates the acquisition of new rights holders, generating positive network economies. As previously mentioned (paragraph (19)), the granting of the administration and exploitation of intellectual property rights to the FOUNDATION, currently regulated by Order CUL/2911/2011, is carried out through the exclusive assignment of the exercise of such powers. The assignment and mandate affect all modalities of administration and exploitation of rights. Naturally, the FOUNDATION does not compete with any other operator for the granting of authorizations regarding Dalí's plastic work.  </w:t>
        <w:br/>
        <w:t xml:space="preserve">(54) On the other hand, in traditional analysis, it is considered that in the downstream markets for granting authorizations, there is no substitutability between different types of works (such as musical, audiovisual, plastic, etc.), although works of the same type would be in the same market, considering that there is substitutability among the same type of works by different authors.  </w:t>
        <w:br/>
        <w:t xml:space="preserve">(55) Thus, the granting of exploitation authorizations regarding plastic works by authors other than Dalí, managed by the authors themselves or their heirs (individual authorizations), or by VEGAP or other operators mandated for this purpose to represent plastic creators, would constitute the main competition on the supply side existing in this market.  </w:t>
        <w:br/>
        <w:t xml:space="preserve">(56) Regarding the market in which the complainant operates as a supplier, the furniture market in Spain is segmented by material (wood, metal, plastic, and other materials), by application (home furniture, office furniture, hospitality furniture, and other furniture), and by distribution channel (supermarkets, specialized stores, online, and other distribution channels). By activity subsectors, a distinction is usually made between office furniture, kitchen furniture, and home furniture. In turn, the subsector of furniture for commerce is differentiated. One might consider a subsector of luxury furniture, handcrafted, of higher quality in workmanship, aesthetically appealing, where the involvement of renowned designers or other exclusivity factors is emphasized. According to specialized analyses of the European furniture sector:  </w:t>
        <w:br/>
        <w:t xml:space="preserve">“European manufacturers now consider design to be the best means of differentiating their products from mass production and accessing high-income market segments. In fact, it is widely recognized that design offers furniture manufacturers a competitive advantage that can counteract the price advantage of low-wage countries. Europe accounts for more than 80% of global sales of luxury designer furniture.”  </w:t>
        <w:br/>
        <w:t xml:space="preserve">(57) In several precedents, the Spanish competition authority and the European Commission (EC) have had the opportunity to analyze the different markets related to the furniture manufacturing and sales sector, stating that a segmentation according to categories of furniture should be distinguished.  </w:t>
        <w:br/>
        <w:t xml:space="preserve">(58) The decisive factor in the issue of market definition is whether it is easy and profitable for manufacturers of a particular category of furniture to switch their production to another (more profitable) category of furniture in the event of a significant and long-term deterioration in the selling conditions of the current category of furniture.  </w:t>
        <w:br/>
        <w:t xml:space="preserve">(59) Although the complainant refers to “the market for the commercialization of furniture or decorative objects inspired by the work of Dalí,” there are no precedents or analyses supporting a narrower market definition than that indicated above, such as furniture inspired by the works of plastic artists or by the work of a specific artist.  </w:t>
        <w:br/>
        <w:t xml:space="preserve">(60) The behaviors subject to this file would affect, in the narrower definition supported by precedents, the market for high-end furniture. However, for the purposes of this proposal for closure, it is not deemed necessary to more precisely delineate the product market, as it does not affect the conclusions of the analysis.  </w:t>
        <w:br/>
        <w:t xml:space="preserve">4.2.2. Geographic Market  </w:t>
        <w:br/>
        <w:t xml:space="preserve">(61) The complainant is an individual from Murcia who intends to market, as furniture inspired by the work of Dalí, the works whose license is denied, in a national and international scope.  </w:t>
        <w:br/>
        <w:t>(62) Regarding the powers of administration and exploitation of intellectual property rights derived from the artistic work of Salvador Dalí, these are held by the FOUNDATION concerning “all countries of the world.”</w:t>
      </w:r>
    </w:p>
    <w:p>
      <w:r>
        <w:rPr>
          <w:b/>
        </w:rPr>
        <w:t>[Pages 13–15]</w:t>
      </w:r>
    </w:p>
    <w:p>
      <w:r>
        <w:t xml:space="preserve">S/0004/21  </w:t>
        <w:br/>
        <w:t xml:space="preserve">DENIAL OF LICENSE FOR EXPLOITATION OF DALÍ WORK  </w:t>
        <w:br/>
        <w:t xml:space="preserve">(63) In relation to the market in which the complainant operates, the market for the manufacture and sale of furniture presents a local or national geographical dimension. Based on market research, the European Commission understands in its most recent precedent that the furniture procurement market is likely national or regional, but probably smaller than that of the European economic area.26  </w:t>
        <w:br/>
        <w:t xml:space="preserve">(64) For the purposes of this analysis, the definition of the geographical scope of the higher price range furniture market is left open, as it does not affect the conclusions of the same.  </w:t>
        <w:br/>
        <w:t xml:space="preserve">5. REPORTED FACTS  </w:t>
        <w:br/>
        <w:t xml:space="preserve">(65) Based on the information provided by the complainant, as well as publicly available information, the following facts are presented. In summary, and after a period of negotiations between May 2015 and March 2018, the FOUNDATION denied in February 2019 the requested license to the now complainant for the manufacture and sale of furniture based on the sketch of Dalí acquired by Mr. (personal data)27. Ownership of the sketch did not authorize Mr. (personal data) either to transform Dalí's work or, consequently, to produce and market the furniture, requiring authorization from the FOUNDATION for that purpose.  </w:t>
        <w:br/>
        <w:t xml:space="preserve">(66) Specifically, the first written request for a license was made in June 2014. It indicated the commercial project pursued with the license, which consisted of producing limited editions of 350 pieces of each of the six sculptural works contained in Dalí's sketch, for subsequent sale as furniture. In addition to information about the projected works, the request invited the FOUNDATION to inspect the furniture prototypes before granting the license.  </w:t>
        <w:br/>
        <w:t xml:space="preserve">(67) In May 2015, a new request was made, which included more details about the process of making each piece of furniture and offered the FOUNDATION a remuneration of a certain percentage of the sales of the aforementioned furniture as royalties. The request provided that the furniture would also be exhibited to the public in various galleries and at the FOUNDATION itself.  </w:t>
        <w:br/>
        <w:t xml:space="preserve">(68) In June 2016, the request for a license was reiterated to the FOUNDATION, with the provision of additional information, increasing the offered royalties by one percentage point and committing to donate and lend various sets of the furniture for permanent and temporary exhibitions of the FOUNDATION.  </w:t>
        <w:br/>
        <w:t xml:space="preserve">(69) In February and June 2017, the request for a license was reiterated again to the FOUNDATION.  </w:t>
        <w:br/>
        <w:t xml:space="preserve">(70) In November 2017, in a meeting held between the FOUNDATION and the now complainant, it was agreed to transfer the prototypes of the furniture to the FOUNDATION in Figueres for inspection, which took place in December 2017.  </w:t>
        <w:br/>
        <w:t xml:space="preserve">(71) As the complainant certifies with the submission of a letter attached to his complaint, in March 2018 the law firm representing the FOUNDATION for the purposes of this negotiation communicated to Mr. (personal data) that "it would not grant the license regarding the Paranoiac Furniture known as 'Lips Sofa', and that the works could not be presented to the public as sculptures." It was also indicated that on that basis the legal representatives of the FOUNDATION would prepare a draft license agreement.  </w:t>
        <w:br/>
        <w:t xml:space="preserve">(72) It should be noted that the letter from the legal representatives of the FOUNDATION dated March 15, 2018, states textually:  </w:t>
        <w:br/>
        <w:t xml:space="preserve">"Once we have received the instructions from the Foundation, we proceed to summarize the points discussed during the meeting held on Thursday, November 9 (which we did not attend) and I understand that these are the basis for moving forward on this matter and preparing the corresponding license agreement [...] Paranoiac work: Your clients agreed to send the prototypes to the FD soon and the FD already informed them that certain products could not be made (the Sofa Lips) and your clients were agreeable. It was agreed to finalize the definition of the products once the FD had seen the prototypes and to define how they would be presented to the public, making it clear that they could never be presented as sculptures."  </w:t>
        <w:br/>
        <w:t xml:space="preserve">(73) The complainant understands that the initial refusal of the FOUNDATION to grant the license to exploit the image of the Lips Sofa or Sofa Lips was motivated by the fact that there is a sofa marketed by the company BD BARCELONA under the name "Dalilips" which would be, to some extent, similar to the Lips Sofa. The complainant considers that work, the Sofa Lips, to be the most representative of the joint project of six works contained in Dalí's sketch and conveyed in March 2018 to the FOUNDATION information about what he considered differences between that Lips Sofa and the Dalilips of the company BD BARCELONA.28  </w:t>
        <w:br/>
        <w:t xml:space="preserve">28 Specifically, the furniture would be based on different works by Dalí conceived fifteen years apart and there would be differences in size, material, manufacturing method, morphology, and artistic style.  </w:t>
        <w:br/>
        <w:t xml:space="preserve">(74) After various communications between the complainant and the FOUNDATION29, on February 22, 2019, the FOUNDATION formally denied the granting of the requested license, indicating that the decision of non-authorization had been adopted by the Artistic Commission of the FOUNDATION30, after an initial analysis by the Management Committee. It is specifically stated:  </w:t>
        <w:br/>
        <w:t xml:space="preserve">"As you know, the possibility of authorizing the license for the paranoiac furniture that you submit to the Foundation and which is necessary to carry out their commercialization has raised an internal debate within the Management Committee that has taken into account all the information you provided. To complete the analysis carried out and better assess your proposal, the Management Committee referred the matter to the Artistic Commission of the Foundation which, in its meeting on Monday, February 18, decided not to authorize your request. Therefore, we hereby notify you of the decision of the Gala-Salvador Dalí Foundation not to authorize the license request for the paranoiac furniture you submitted."  </w:t>
        <w:br/>
        <w:t xml:space="preserve">(75) According to the documentation provided by the complainant, almost a year after the denial, on February 20, 2020, Mr. (personal data) sent a burofax to the FOUNDATION urging the review of the decision not to authorize the license request, stating that he considered it an abuse of a dominant position prohibited by Article 2 of the LDC. In turn, the legal representatives of the FOUNDATION responded on February 28, 2020, committing to review the matter and respond as soon as possible, without any further communication between the parties being recorded in the file.  </w:t>
        <w:br/>
        <w:t xml:space="preserve">6. LEGAL GROUNDS  </w:t>
        <w:br/>
        <w:t xml:space="preserve">Competence to Resolve  </w:t>
        <w:br/>
        <w:t>(76) In accordance with Article 5.1.c) of Law 3/2013, of June 4, establishing the National Commission of Markets and Competition, this Agency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by which</w:t>
      </w:r>
    </w:p>
    <w:p>
      <w:r>
        <w:rPr>
          <w:b/>
        </w:rPr>
        <w:t>[Pages 16–18]</w:t>
      </w:r>
    </w:p>
    <w:p>
      <w:r>
        <w:t xml:space="preserve">S/0004/21  </w:t>
        <w:br/>
        <w:t xml:space="preserve">DENIAL OF LICENSE FOR EXPLOITATION OF DALÍ WORK  </w:t>
        <w:br/>
        <w:t xml:space="preserve">the Organic Statute of the CNMC is approved, “the Competition Chamber will hear matters related to the application of Law 15/2007, of July 3.”  </w:t>
        <w:br/>
        <w:t xml:space="preserve">(77) Consequently, the competence to resolve this procedure corresponds to the Competition Chamber of the CNMC.  </w:t>
        <w:br/>
        <w:t xml:space="preserve">Instructor's Proposal  </w:t>
        <w:br/>
        <w:t xml:space="preserve">(78) The DC proposes not to initiate the sanctioning procedure, as well as the filing of the present proceedings.  </w:t>
        <w:br/>
        <w:t xml:space="preserve">(79) It bases its proposal on the fact that the denial of authorization by the FOUNDATION is not suitable to exclude competition in the market in which the complainant operates, so the necessary elements to appreciate the existence of an abuse of dominant position required in Article 2 LDC are not present in the reported facts.  </w:t>
        <w:br/>
        <w:t xml:space="preserve">Assessment of the Competition Chamber  </w:t>
        <w:br/>
        <w:t xml:space="preserve">(80) The purpose of this file is to determine whether the FOUNDATION has engaged in conduct contrary to the provisions of Article 2 of Law 15/2007, of July 3, on the Defense of Competition, consisting of abuse of dominant position.  </w:t>
        <w:br/>
        <w:t xml:space="preserve">(81) According to the complainant, the described facts demonstrate the existence of “an abuse of dominant position by the FOUNDATION contrary to Article 2 of the LDC, consisting of an unjustified denial of the granting of a license for the exploitation rights over Dalí's work.”  </w:t>
        <w:br/>
        <w:t xml:space="preserve">(82) Regarding the alleged abusive conduct of dominant position, and in order to appreciate the existence of indications of infringement of Article 2 of the LDC, it is necessary to verify cumulatively, first, that there is a dominant position and, second, that there has been an abuse of it.  </w:t>
        <w:br/>
        <w:t xml:space="preserve">(83) However, in this case, it is unnecessary to determine whether the FOUNDATION has a dominant position since, even if it were the case, its conduct cannot be classified as abusive.  </w:t>
        <w:br/>
        <w:t xml:space="preserve">(84) In the hypothetical case that a company held a dominant position, it would have a special responsibility not to impede, through its behavior, the development of effective and undistorted competition in the internal market.  </w:t>
        <w:br/>
        <w:t xml:space="preserve">31 Judgment of the CJEU of November 9, 1983, C-322/81, Michelin I (paragraph 57); ECLI:EU:C:1983:313. Judgment of the CJEU of April 2, 2009, C-202/07 France Télécom (paragraph 105) ECLI:EU:C:2009:214; Judgment of the CJEU of March 27, 2012, C-209/10 Post Danmark (paragraph 23) ECLI:EU:C:2011:342; Judgment of the CJEU of June 12, 2014, C-286/09, Intel (paragraph 205) ECLI:EU:T:2014:547; Judgment of the CJEU of September 6, 2017 C-413/14 P Intel (paragraph 135) ECLI:EU:C:2017:632 and Judgment of the CJEU of March 25, 2021 C-165/19 P Slovak Telecom (paragraph 40) ECLI:EU:C:2021:239. At the national level, see the Judgment of the Supreme Court 3175/2010 of June 16, 2010, appeal 4714/2007 (Legal Basis Seventh), the Judgment of the Supreme Court 478/2011, of February 10, 2011, appeal 3042/2008 (Legal Basis Second), and the Judgment of the National Court 8670/2004 of January 14, 2004, appeal 892/2000 (Legal Basis Seventh).  </w:t>
        <w:br/>
        <w:t xml:space="preserve">32 Judgment of the CJEU of February 13, 1979, C-85/76, Hoffman-La Roche (paragraph 91) ECLI:EU:C:1979:36; Judgment of the CJEU of November 9, 1983, C-322/81, Michelin I (paragraph 70) ECLI:EU:C:1983:313; Judgment of the CJEU of July 3, 1991, C-62/86, Akzo (paragraph 69) ECLI:EU:C:1991:286; Judgment of the CJEU of December 17, 2003, T-219/99, British Airways (paragraph 66) ECLI:EU:T:2003:343; Judgment of the CJEU of April 2, 2009, C-202/07 France Télécom (paragraph 104) ECLI:EU:C:2009:214; Judgment of the CJEU of October 14, 2010, C-280/08 Deutsche Telekom (paragraph 174) ECLI:EU:C:2010:603; Judgment of the CJEU of February 17, 2011, C-52/09 TeliaSonera Sverige (paragraph 27) ECLI:EU:C:2011:83 and Judgment of the CJEU of March 25, 2021 C-165/19 P Slovak Telecom (paragraph 41) ECLI:EU:C:2021:239.  </w:t>
        <w:br/>
        <w:t xml:space="preserve">(85)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 of economic agents, the maintenance of the level of competition that still exists in the market or the development of that competition.  </w:t>
        <w:br/>
        <w:t xml:space="preserve">(86) Article 2.1 of Law 15/2007, of July 3, on the Defense of Competition, prohibits "... the abusive exploitation by one or more companies of their dominant position in all or part of the national market." And then, in an open or indicative enumeration, paragraph 2 of the same Article 2 states: “2. The abuse may consist, in particular, of  </w:t>
        <w:br/>
        <w:t xml:space="preserve">c) The unjustified refusal to satisfy demands for the purchase of products or the provision of services.”  </w:t>
        <w:br/>
        <w:t xml:space="preserve">(87) Although there is no equivalent provision in the literal wording of Article 102 TFEU, the case law of the Court of Justice of the European Union (CJEU), as developed and nuanced below, considers that the unjustified refusal to supply by the dominant operator constitutes abusive conduct that violates competition.  </w:t>
        <w:br/>
        <w:t xml:space="preserve">(88) To qualify conduct as constituting an abuse of dominant position, it must be determined that it is capable of having exclusionary or restrictive effects on competition. For this, it is necessary to analyze, on the one hand, that the conduct goes beyond competition on the merits, and, on the other hand, that it can have a restrictive effect on competition. According to the Court of Justice in its judgment of May 12, 2022, in the case Servizio Elettrico Nazionale, “a competition authority meets its burden of proof if it demonstrates that a practice of a company occupying a dominant position can undermine, using resources or means other than those governing normal competition, an effective competitive structure, without needing to demonstrate that such practice can also cause direct harm to consumers.” For this, all relevant factual circumstances surrounding the behavior in question must be analyzed.  </w:t>
        <w:br/>
        <w:t xml:space="preserve">(89) The concept of refusal to supply encompasses a wide range of practices, including the refusal to grant licenses on intellectual property rights.  </w:t>
        <w:br/>
        <w:t xml:space="preserve">(90) In this case, there are no indications of the existence of abusive conduct consisting of an unjustified refusal to supply constituted by an undue refusal to authorize the exploitation of a certain plastic work of Salvador Dalí. Therefore, there are also no indications of an abuse of any eventual dominant position. That is to say, even in the event that a dominant position were established in some market definition, as anticipated above, there are no indications of abuse of that eventual dominant position.  </w:t>
        <w:br/>
        <w:t>(91) The FOUNDATION, in the exercise of its powers of administration and exploitation of the intellectual property rights derived from the work.</w:t>
      </w:r>
    </w:p>
    <w:p>
      <w:r>
        <w:rPr>
          <w:b/>
        </w:rPr>
        <w:t>[Pages 19–21]</w:t>
      </w:r>
    </w:p>
    <w:p>
      <w:r>
        <w:t xml:space="preserve">S/0004/21  </w:t>
        <w:br/>
        <w:t xml:space="preserve">DENIAL OF LICENSE FOR EXPLOITATION OF DALÍ WORK  </w:t>
        <w:br/>
        <w:t xml:space="preserve">artistic work of Salvador Dalí, grants licenses within the framework of its functions of protection, dissemination, and exploitation of rights related to Dalí's work [art. 4 c) Order CUL/2911/2011]. Like any operator, the FOUNDATION must be able to assess whether or not to grant a license for exploitation, taking into account, among other criteria, commercial, quality, and design considerations.  </w:t>
        <w:br/>
        <w:t xml:space="preserve">(92) The Supreme Court has established that there will be no abuse if there are reasonable and objective justifications and economic reasons other than hindering competition:  </w:t>
        <w:br/>
        <w:t xml:space="preserve">“[…] the injury to the economic interests of clients, suppliers, and consumers produced from a dominant position will require, to be qualified as abusive exploitation of that position, an element of lack of justification, which can be seen where the exercise by the dominant company of its special economic freedom ceases to conform, without a recognizable reason as such, to what it would carry out in a situation of effective competition.”  </w:t>
        <w:br/>
        <w:t xml:space="preserve">(93) As specified in the Commission Communication — Guidelines on the Commission's priorities for the application of Article 82 of the EC Treaty to the abusive exclusionary conduct of dominant companies:  </w:t>
        <w:br/>
        <w:t xml:space="preserve">75 […] the Commission assumes that, in general terms, any company, whether dominant or not, must have the right to choose with whom it trades and to freely dispose of its property. Thus, the Commission considers that an intervention under Competition Law requires a detailed examination when the application of Article 82 [102] leads to imposing an obligation to supply on the dominant company.  </w:t>
        <w:br/>
        <w:t xml:space="preserve">(94) However, when such authorization is objectively necessary to compete in a downstream market, a refusal to negotiate or license may constitute an abuse of a dominant position (assuming that this is held) when the refusal may lead to the elimination of competition in the downstream market and, to that extent, cause harm to the consumer.  </w:t>
        <w:br/>
        <w:t xml:space="preserve">(95) The cumulative criteria established in the case law of the CJEU and also collected by the Supreme Court, to assess an abuse in these cases are (i) that the refusal to negotiate must refer to a product or service that is objectively necessary to compete effectively in a downstream market; (ii) it must be likely to lead to the elimination of effective competition in the downstream market; and (iii) it must be likely that the refusal causes harm to the consumer as it prevents the emergence of a new product or leads to a limitation of technical development.  </w:t>
        <w:br/>
        <w:t xml:space="preserve">(96) This Chamber understands that the refusal of authorization by the FOUNDATION is not suitable to exclude competition in the market in which the complainant operates, whose definition has been indicated above and which could constitute in its narrowest conception that of the manufacture and marketing of higher-priced or high-end furniture.  </w:t>
        <w:br/>
        <w:t xml:space="preserve">(97) In this regard, according to information from the Spanish Observatory of the Furniture Market, the value of furniture production in Spain in 2022 amounted to 4.69 billion euros, with the sector's turnover exceeding 7 billion euros. On the other hand, it should be noted that there are numerous alternative plastic works to those whose authorization is managed by the FOUNDATION.  </w:t>
        <w:br/>
        <w:t xml:space="preserve">(98) As indicated in section 5 of the Reported Facts, the commercial project that the now complainant pursued with the license application consisted of producing limited editions of 350 pieces of each of the six sculptural works contained in Dalí's sketch, for subsequent sale as furniture. Given the relative dimension of that business plan, it cannot be reasonably inferred that it is capable of affecting effective competition in a possible market for the manufacture and marketing of high-end furniture.  </w:t>
        <w:br/>
        <w:t>(99) In light of all the above, with the available information, this Chamber considers that there are no reasonable indications to consider the existence of an abuse of a dominant position constituting an unjustified denial of a license for exploitation by the FOUNDATION, in accordance with the LDC.</w:t>
      </w:r>
    </w:p>
    <w:p>
      <w:r>
        <w:t xml:space="preserve">S/0004/21  </w:t>
        <w:br/>
        <w:t xml:space="preserve">DENIAL OF LICENSE FOR EXPLOITATION OF DALÍ WORK  </w:t>
        <w:br/>
        <w:t xml:space="preserve">7. AGREEMENT NOT TO INITIATE AND FILING OF THE PROCEEDINGS  </w:t>
        <w:br/>
        <w:t xml:space="preserve">Sole. The non-initiation of a sanctioning procedure, as well as the filing of the proceedings followed in file S/0004/21 DENIAL OF LICENSE FOR EXPLOITATION OF DALÍ WORK, due to the lack of evidence of an infringement.  </w:t>
        <w:b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