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https://www.cnmc.es/expedientes/s000520</w:t>
      </w:r>
    </w:p>
    <w:p>
      <w:r>
        <w:t>Pages translated : 26</w:t>
      </w:r>
    </w:p>
    <w:p/>
    <w:p>
      <w:r>
        <w:rPr>
          <w:b/>
        </w:rPr>
        <w:t>[Pages 1–3]</w:t>
      </w:r>
    </w:p>
    <w:p>
      <w:r>
        <w:t xml:space="preserve">S/0005/20  </w:t>
        <w:br/>
        <w:t xml:space="preserve">UBER CABIFY BOLT  </w:t>
        <w:br/>
        <w:t xml:space="preserve">AGREEMENT OF NON-INITIATION AND FILING OF THE  </w:t>
        <w:br/>
        <w:t xml:space="preserve">PROCEEDINGS  </w:t>
        <w:br/>
        <w:t xml:space="preserve">UBER CABIFY BOLT  </w:t>
        <w:br/>
        <w:t xml:space="preserve">S/0005/20  </w:t>
        <w:br/>
        <w:t xml:space="preserve">COUNCIL. COMPETITION CHAMBER  </w:t>
        <w:br/>
        <w:t xml:space="preserve">Chairwoman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García-Ovies  </w:t>
        <w:br/>
        <w:t xml:space="preserve">In Madrid, on March 12, 2025  </w:t>
        <w:br/>
        <w:t xml:space="preserve">The Competition Chamber of the Council of the National Commission of Markets  </w:t>
        <w:br/>
        <w:t xml:space="preserve">and Competition, with the composition expressed, has issued the following agreement  </w:t>
        <w:br/>
        <w:t xml:space="preserve">in the referenced procedure processed by the Competition Directorate for  </w:t>
        <w:br/>
        <w:t xml:space="preserve">alleged anti-competitive practices contrary to Articles 1, 2, and 3 of Law  </w:t>
        <w:br/>
        <w:t xml:space="preserve">15/2007, of July 3, on the Defense of Competition and Articles 101 and 102 of the  </w:t>
        <w:br/>
        <w:t xml:space="preserve">Treaty on the Functioning of the European Union.  </w:t>
        <w:br/>
        <w:t xml:space="preserve">National Commission of Markets and Competition 1 of 26  </w:t>
        <w:br/>
        <w:t xml:space="preserve">C/ Alcalá, 47 – 28014 Madrid - C/ Bolivia, 56 – 08018 Barcelona  </w:t>
        <w:br/>
        <w:t>www.cnmc.es</w:t>
      </w:r>
    </w:p>
    <w:p>
      <w:r>
        <w:t xml:space="preserve">S/0005/20  </w:t>
        <w:br/>
        <w:t xml:space="preserve">UBER CABIFY BOLT  </w:t>
        <w:br/>
        <w:t xml:space="preserve">INDEX OF CONTENTS  </w:t>
        <w:br/>
        <w:t xml:space="preserve">1. BACKGROUND ........................................................................................ 3  </w:t>
        <w:br/>
        <w:t xml:space="preserve">2. THE PARTIES .......................................................................................... 5  </w:t>
        <w:br/>
        <w:t xml:space="preserve">2.1. Respondents ........................................................................................... 5  </w:t>
        <w:br/>
        <w:t xml:space="preserve">2.1.1. UBER SYSTEMS SPAIN S.L. (UBER) .................................................................. 5  </w:t>
        <w:br/>
        <w:t xml:space="preserve">2.1.2. MAXI MOBILITY SPAIN S.L. (CABIFY) ................................................................. 5  </w:t>
        <w:br/>
        <w:t xml:space="preserve">2.1.3. BOLT TXFY S.L. (BOLT) ....................................................................................... 5  </w:t>
        <w:br/>
        <w:t xml:space="preserve">2.2. Complainants .......................................................................................... 6  </w:t>
        <w:br/>
        <w:t xml:space="preserve">2.2.1. ASSOCIATION OF TAXIS PLATFORM CARACOL (APC) ................................ 6  </w:t>
        <w:br/>
        <w:t xml:space="preserve">2.2.2. TAXI PROJECT 2.0 (TAXI PROJECT) .................................................................. 6  </w:t>
        <w:br/>
        <w:t xml:space="preserve">2.2.3. REPRESENTATIVE OF 137 NATURAL PERSONS .............................................. 6  </w:t>
        <w:br/>
        <w:t xml:space="preserve">3. NORMATIVE FRAMEWORK .................................................................... 6  </w:t>
        <w:br/>
        <w:t xml:space="preserve">4. MARKET .................................................................................................... 8  </w:t>
        <w:br/>
        <w:t xml:space="preserve">4.1. Product Market ....................................................................................... 8  </w:t>
        <w:br/>
        <w:t xml:space="preserve">4.2. Geographic Market ............................................................................... 10  </w:t>
        <w:br/>
        <w:t xml:space="preserve">5. OBJECT OF THE COMPLAINTS ............................................................... 11  </w:t>
        <w:br/>
        <w:t xml:space="preserve">5.1.1. Complaint by the APC ............................................................................................. 11  </w:t>
        <w:br/>
        <w:t xml:space="preserve">5.1.2. Complaint by TAXI PROJECT .............................................................................. 12  </w:t>
        <w:br/>
        <w:t xml:space="preserve">5.1.3. Complaint by the representative of 137 natural persons .......................................... 12  </w:t>
        <w:br/>
        <w:t xml:space="preserve">6. REPORTED FACTS .................................................................................. 13  </w:t>
        <w:br/>
        <w:t xml:space="preserve">6.1. Pricing systems and available information about them in  </w:t>
        <w:br/>
        <w:t xml:space="preserve">the applications and websites of the platforms .................................... 13  </w:t>
        <w:br/>
        <w:t xml:space="preserve">6.2. Price sample provided by one of the complainants ...................... 14  </w:t>
        <w:br/>
        <w:t xml:space="preserve">6.3. Platforms' policy in relation to their drivers .................................. 15  </w:t>
        <w:br/>
        <w:t xml:space="preserve">6.3.1. Pricing and discount policy .................................................................................. 15  </w:t>
        <w:br/>
        <w:t xml:space="preserve">6.3.2. Customer acquisition .......................................................................................... 16  </w:t>
        <w:br/>
        <w:t xml:space="preserve">6.3.3. Service organization .......................................................................................... 17  </w:t>
        <w:br/>
        <w:t xml:space="preserve">6.3.4. Autonomy in accepting rides .............................................................................. 17  </w:t>
        <w:br/>
        <w:t xml:space="preserve">6.3.5. Clauses on risk sharing ......................................................................................... 18  </w:t>
        <w:br/>
        <w:t xml:space="preserve">6.3.6. Cost assumption .................................................................................................. 18  </w:t>
        <w:br/>
        <w:t xml:space="preserve">6.3.7. Exclusivity clauses .............................................................................................. 19  </w:t>
        <w:br/>
        <w:t xml:space="preserve">7. LEGAL GROUNDS .................................................................................. 19  </w:t>
        <w:br/>
        <w:t xml:space="preserve">7.1. Competence to Resolve ...................................................................... 19  </w:t>
        <w:br/>
        <w:t xml:space="preserve">7.2. Proposal of the instructing body .......................................................... 19  </w:t>
        <w:br/>
        <w:t xml:space="preserve">7.3. Assessment of the Competition Chamber ........................................... 20  </w:t>
        <w:br/>
        <w:t xml:space="preserve">7.3.1. Regarding the possible violation of Article 3 of the LDC ................................. 20  </w:t>
        <w:br/>
        <w:t xml:space="preserve">7.3.2. Regarding the possible violation of Article 1 of the LDC and Article 101 of the TFEU .... 22  </w:t>
        <w:br/>
        <w:t xml:space="preserve">7.3.3. Regarding the possible violation of Article 2 of the LDC and Article 102 of the TFEU .... 25  </w:t>
        <w:br/>
        <w:t xml:space="preserve">8. AGREES ................................................................................................... 26  </w:t>
        <w:br/>
        <w:t xml:space="preserve">Table 1. Sample of prices offered by platforms and taxis for rides in Madrid……………15  </w:t>
        <w:br/>
        <w:t xml:space="preserve">National Commission of Markets and Competition 2 of 26  </w:t>
        <w:br/>
        <w:t xml:space="preserve">C/ Alcalá, 47 – 28014 Madrid - C/ Bolivia, 56 – 08018 Barcelona  </w:t>
        <w:br/>
        <w:t>www.cnmc.es</w:t>
      </w:r>
    </w:p>
    <w:p>
      <w:r>
        <w:t xml:space="preserve">S/0005/20  </w:t>
        <w:br/>
        <w:t xml:space="preserve">UBER CABIFY BOLT  </w:t>
        <w:br/>
        <w:t xml:space="preserve">1. BACKGROUND  </w:t>
        <w:br/>
        <w:t xml:space="preserve">(1) On February 6, 2020, a document was received in the Competition Directorate of the  </w:t>
        <w:br/>
        <w:t xml:space="preserve">National Commission of Markets and Competition (CNMC) from the Association of Taxis Platform Caracol (APC) reporting the activity of the platforms UBER SYSTEMS SPAIN, S.L. (UBER) and MAXI MOBILITY SPAIN, S.L. (CABIFY).  </w:t>
        <w:br/>
        <w:t xml:space="preserve">(2) This complaint alleges the existence of unfair acts by UBER and CABIFY in the determination of prices for VTC transport services, which would constitute a violation of Article 3 of Law 15/2007, of July 3, on the Defense of Competition (LDC)1.  </w:t>
        <w:br/>
        <w:t xml:space="preserve">(3) Specifically, the complaint states that the pricing determination system of VTC2 generates a double harm to competition, namely:  </w:t>
        <w:br/>
        <w:t xml:space="preserve">• Uncertainty for the user of their services regarding the final price they will pay for them, as it depends on multiple variables that increase the initially indicated price.  </w:t>
        <w:br/>
        <w:t xml:space="preserve">• Unfair competition towards the taxi sector, given that, on one hand, the price for taxi passenger transport services is regulated, and on the other, according to the complainant, the platforms of UBER and CABIFY “would propose cheaper prices” than those of the taxi without actually being so.  </w:t>
        <w:br/>
        <w:t xml:space="preserve">(4) In view of this complaint, the Competition Directorate initiated a reserved inquiry within the framework of the referenced proceedings, in accordance with the provisions of section 2 of Article 49 of the LDC, in order to preliminarily determine the existence of circumstances that justify the initiation of sanctioning proceedings.  </w:t>
        <w:br/>
        <w:t xml:space="preserve">(5) The initial complaint was reiterated by respective documents sent to the CNMC on October 10, 20203 and July 5, 20214.  </w:t>
        <w:br/>
        <w:t xml:space="preserve">(6) Additionally, two extensions of the complaint occurred: first, on November 19, 2021, the reported conduct was also extended against BOLTEST TXFY S.L. (BOLT)5. Secondly, on September 6, 2022, the definition of the reported conduct was expanded6.  </w:t>
        <w:br/>
        <w:t xml:space="preserve">(7) On March 4 and 15, 2022, and September 16, 2022, the Competition Directorate requested information from BOLT, in accordance with the provisions of Article 39.1 of the LDC.  </w:t>
        <w:br/>
        <w:t xml:space="preserve">1 The complaint is found in Pages 3 to 26.  </w:t>
        <w:br/>
        <w:t xml:space="preserve">2 VTC is the acronym for 'Vehicles for Transport with Driver'.  </w:t>
        <w:br/>
        <w:t xml:space="preserve">3 Page 68.  </w:t>
        <w:br/>
        <w:t xml:space="preserve">4 Pages 73 and 74.  </w:t>
        <w:br/>
        <w:t xml:space="preserve">5 Pages 104 to 109.  </w:t>
        <w:br/>
        <w:t xml:space="preserve">6 Pages 210 to 214.  </w:t>
        <w:br/>
        <w:t xml:space="preserve">National Commission of Markets and Competition 3 of 26  </w:t>
        <w:br/>
        <w:t xml:space="preserve">C/ Alcalá, 47 – 28014 Madrid - C/ Bolivia, 56 – 08018 Barcelona  </w:t>
        <w:br/>
        <w:t>www.cnmc.es</w:t>
      </w:r>
    </w:p>
    <w:p>
      <w:r>
        <w:rPr>
          <w:b/>
        </w:rPr>
        <w:t>[Pages 4–6]</w:t>
      </w:r>
    </w:p>
    <w:p>
      <w:r>
        <w:t xml:space="preserve">S/0005/20  </w:t>
        <w:br/>
        <w:t xml:space="preserve">UBER CABIFY BOLT  </w:t>
        <w:br/>
        <w:t xml:space="preserve">the LDC, information regarding the reported facts. A response was received on September 27, 20227.  </w:t>
        <w:br/>
        <w:t xml:space="preserve">(8) On December 13, 2022, the Competition Directorate requested information from UBER and CABIFY regarding the reported facts. UBER's response was received on January 3, 20238, while CABIFY's response was received on January 16, 20239.  </w:t>
        <w:br/>
        <w:t xml:space="preserve">(9) Additionally, on May 3, 2024, a new document was received from the entity TAXI PROJECT 2.0 (TAXI PROJECT) in which the activity of the platforms UBER, CABIFY, and BOLT was reported. Specifically, it was considered that the mentioned platforms were operating as a cartel by setting the prices of their services through the price determination algorithm, which would constitute a violation of Article 1 of the LDC and Article 101 of the Treaty on the Functioning of the European Union (TFEU), as well as abusing their dominant position by imposing a price determination system through the algorithm, which would constitute a violation of Article 2 of the LDC and Article 102 of the TFEU10. This complaint was supplemented by another dated June 20, 202411.  </w:t>
        <w:br/>
        <w:t xml:space="preserve">(10) On May 27, 2024, a new document was received from a lawyer representing 137 citizens, all of whom hold at least one taxi license in the cities of Madrid or Barcelona. This document referred to the possible existence of collusive behavior by UBER, CABIFY, and BOLT regarding price determination, which would constitute a violation of Article 1 of the LDC, as well as the existence of unfair practices in the form of predatory pricing by these three platforms, which would constitute a violation of Article 3 of the LDC12.  </w:t>
        <w:br/>
        <w:t xml:space="preserve">(11) On December 2, 2024, the Competition Directorate, in application of the provisions of Article 49.3 of the LDC, issued a proposal for non-initiation of sanctioning proceedings and for the filing of the actions, considering that the reported facts did not show indications of a violation of the LDC13.  </w:t>
        <w:br/>
        <w:t xml:space="preserve">(12) The Competition Chamber of the CNMC Council has deliberated and ruled on the matter in its meeting of March 12, 2025.  </w:t>
        <w:br/>
        <w:t xml:space="preserve">7 Folios 224 a 229.  </w:t>
        <w:br/>
        <w:t xml:space="preserve">8 Folios 241 a 300.  </w:t>
        <w:br/>
        <w:t xml:space="preserve">9 Folios 304 a 552.  </w:t>
        <w:br/>
        <w:t xml:space="preserve">10 The complaint is found in Folios 625 a 641.  </w:t>
        <w:br/>
        <w:t xml:space="preserve">11 Folios 2121 a 2196.  </w:t>
        <w:br/>
        <w:t xml:space="preserve">12 The complaint is found in Folios 691 a 709.  </w:t>
        <w:br/>
        <w:t xml:space="preserve">13 Folios 2198 a 2241.  </w:t>
        <w:br/>
        <w:t xml:space="preserve">Comisión Nacional de los Mercados y la Competencia 4 de 26  </w:t>
        <w:br/>
        <w:t xml:space="preserve">C/ Alcalá, 47 – 28014 Madrid - C/ Bolivia, 56 – 08018 Barcelona  </w:t>
        <w:br/>
        <w:t>www.cnmc.es</w:t>
      </w:r>
    </w:p>
    <w:p>
      <w:r>
        <w:t xml:space="preserve">S/0005/20  </w:t>
        <w:br/>
        <w:t xml:space="preserve">UBER CABIFY BOLT  </w:t>
        <w:br/>
        <w:t xml:space="preserve">2. THE PARTIES  </w:t>
        <w:br/>
        <w:t xml:space="preserve">2.1. Accused  </w:t>
        <w:br/>
        <w:t xml:space="preserve">2.1.1. UBER SYSTEMS SPAIN S.L. (UBER)  </w:t>
        <w:br/>
        <w:t xml:space="preserve">(13) This is a company established in 2014, a subsidiary of UBER Technologies Inc., which currently provides services through a technological platform that connects transport users on one side and drivers on the other, with UBER retaining a commission per transaction.  </w:t>
        <w:br/>
        <w:t xml:space="preserve">2.1.2. MAXI MOBILITY SPAIN S.L. (CABIFY)  </w:t>
        <w:br/>
        <w:t xml:space="preserve">(14) MAXI MOBILITY SPAIN, S.L. is the company that owns the CABIFY application. Established in 2011 and based in Madrid, its corporate purpose is the development, execution, provision, and marketing of all types of applications for mobile terminals, leasing of vehicles with drivers, provision of discretionary public transport services for passengers, and activities typical of travel agencies for mediation. It has been renamed CABIFY ESPAÑA S.L.  </w:t>
        <w:br/>
        <w:t xml:space="preserve">(15) Its main activity is the intermediation in the transport services offered through the CABIFY application. Specifically, the platform connects users and providers of transport services.  </w:t>
        <w:br/>
        <w:t xml:space="preserve">(16) Among the services offered through the CABIFY platform, the most relevant from a business perspective is related to the intermediation in VTC services, in which holders of VTC authorizations are connected with users.  </w:t>
        <w:br/>
        <w:t xml:space="preserve">2.1.3. BOLT TXFY S.L. (BOLT)  </w:t>
        <w:br/>
        <w:t xml:space="preserve">(17) BOLT, formerly TAXIFY, is an Estonian company established in 2013. It provides services for hiring vehicles with drivers through the mobile application developed by the company, which also allows for the rental of scooters, bicycles, or ordering food delivery. Its ultimate goal is to provide urban alternatives to private vehicles. It operates with both taxis and VTCs.  </w:t>
        <w:br/>
        <w:t xml:space="preserve">Comisión Nacional de los Mercados y la Competencia 5 de 26  </w:t>
        <w:br/>
        <w:t xml:space="preserve">C/ Alcalá, 47 – 28014 Madrid - C/ Bolivia, 56 – 08018 Barcelona  </w:t>
        <w:br/>
        <w:t>www.cnmc.es</w:t>
      </w:r>
    </w:p>
    <w:p>
      <w:r>
        <w:t xml:space="preserve">S/0005/20  </w:t>
        <w:br/>
        <w:t xml:space="preserve">UBER CABIFY BOLT  </w:t>
        <w:br/>
        <w:t xml:space="preserve">2.2. Complainants  </w:t>
        <w:br/>
        <w:t xml:space="preserve">2.2.1. ASOCIACIÓN DE TAXIS PLATAFORMA CARACOL (APC)  </w:t>
        <w:br/>
        <w:t xml:space="preserve">(18) The APC was established in September 2017 as a platform to work in defense of the taxi sector in Madrid. The objective of the Association is to defend the interests of the collective, as well as to develop studies and innovations to regenerate the quality of public taxi service in the medium/long term.  </w:t>
        <w:br/>
        <w:t xml:space="preserve">2.2.2. TAXI PROJECT 2.0 (TAXI PROJECT)  </w:t>
        <w:br/>
        <w:t xml:space="preserve">(19) TAXI PROJECT is an association established in defense of the taxi sector and based in Barcelona. They carry out research, representation in judicial processes, and representation before national and community institutions.  </w:t>
        <w:br/>
        <w:t xml:space="preserve">2.2.3. REPRESENTATIVE OF 137 INDIVIDUALS  </w:t>
        <w:br/>
        <w:t xml:space="preserve">(20) A lawyer registered with the Illustrious Bar Association of Barcelona with number 33,370, representing 137 citizens whose names and ID numbers are included in the document submitted to the CNMC.  </w:t>
        <w:br/>
        <w:t xml:space="preserve">3. NORMATIVE FRAMEWORK  </w:t>
        <w:br/>
        <w:t xml:space="preserve">(21) The economic activity in which the reported conduct is circumscribed, the provision of intermediation services for the transport of passenger vehicles (taxi or VTC), takes place within a specific regulatory framework that is extensively regulated14.  </w:t>
        <w:br/>
        <w:t xml:space="preserve">14 At the state level, fundamentally: Law 9/2013 of July 4, which amends Law 16/1987 of July 30, on the regulation of land transport (LOTT); Royal Decree 1057/2015 of November 20, which amends Royal Decree 1211/1990 of September 28, which approves the regulation of the Regulation of Land Transport; Order FOM/2799/2015 of November 18, which amends Order FOM/36/2008 of January 9, which develops Section Two of Chapter IV of Title V, regarding the leasing of vehicles with drivers, of the Regulation of the Law on the Regulation of Land Transport, approved by RD 1211/1990 of September 28; Royal Decree-Law 13/2018 of September 28, which amends Law 16/1987 of July 30, on the Regulation of Land Transport, regarding the leasing of vehicles with drivers; and finally, Law 13/2021 of October 1, which amends Law 16/1987 of July 30, on the Regulation of Land Transport regarding violations related to the leasing of vehicles with drivers and to combat late payment in the field of road freight transport, as well as other regulations to improve management in the field of transport and infrastructure.  </w:t>
        <w:br/>
        <w:t xml:space="preserve">See also the PRO/CNMC/003 report on Royal Decree-Law 13/2018 of September 28, which amends the LOTT regarding the leasing of vehicles with drivers.  </w:t>
        <w:br/>
        <w:t xml:space="preserve">Comisión Nacional de los Mercados y la Competencia 6 de 26  </w:t>
        <w:br/>
        <w:t xml:space="preserve">C/ Alcalá, 47 – 28014 Madrid - C/ Bolivia, 56 – 08018 Barcelona  </w:t>
        <w:br/>
        <w:t>www.cnmc.es</w:t>
      </w:r>
    </w:p>
    <w:p>
      <w:r>
        <w:rPr>
          <w:b/>
        </w:rPr>
        <w:t>[Pages 7–9]</w:t>
      </w:r>
    </w:p>
    <w:p>
      <w:r>
        <w:t xml:space="preserve">S/0005/20  </w:t>
        <w:br/>
        <w:t xml:space="preserve">UBER CABIFY BOLT  </w:t>
        <w:br/>
        <w:t xml:space="preserve">(22) According to the ruling of the Supreme Court dated June 4, 2018 (rec. no. 438/2017), the taxi service is subject to intense regulation, which includes the limitation of licenses and the establishment of regulated fares to ensure certain levels of quality, safety, and accessibility.  </w:t>
        <w:br/>
        <w:t xml:space="preserve">(23) Indeed, taxi services are subject to a special legal regime, developed by the corresponding national, regional, and municipal regulations, which govern the provision of this type of service and impose administrative, territorial, quality, safety, and price restrictions:  </w:t>
        <w:br/>
        <w:t xml:space="preserve">• Administrative requirements: taxi services can only be provided by drivers who have obtained a license from the competent authority. The number of available administrative licenses is limited within each municipality or metropolitan area.  </w:t>
        <w:br/>
        <w:t xml:space="preserve">• Territorial restrictions: taxi drivers cannot start a journey outside the area for which they have been granted a license.  </w:t>
        <w:br/>
        <w:t xml:space="preserve">• Quality and safety requirements: taxi licenses can only be granted to individuals or cooperatives; there is a limit on the number of taxi licenses per person; there are restrictions on renting, transferring, or assigning the license, as well as restrictions on service time and the vehicles used (colors, size, maximum age of the vehicle, etc.). Additionally, there are mandatory license renewals every 5 years, as well as regulations regarding service days and hours worked.  </w:t>
        <w:br/>
        <w:t xml:space="preserve">• Price restrictions: the fares that taxi drivers can charge their customers are established by regional or local regulations: flag drop, amount per km/time, surcharges, and, in relation to the reservation of taxis through intermediaries, maximum amount for the journey from the taxi driver's location to the passenger's pickup.  </w:t>
        <w:br/>
        <w:t xml:space="preserve">(24) For its part, VTC transport also requires obtaining authorization from the corresponding administrative authority, although the requirements for obtaining it are not exactly the same as those for taxis. Specifically, the number of authorizations may be limited15 and there are also territorial restrictions16, regarding the type of vehicle used, age, etc. Unlike taxi service, fares are not regulated and the hiring must necessarily be done prior to the provision of the service, and they cannot seek customers on public roads.  </w:t>
        <w:br/>
        <w:t xml:space="preserve">(25) In Royal Decree-Law 13/2018, of September 28, which amends Law 16/1987, of July 30, on the Regulation of Land Transport, regarding the leasing of vehicles with drivers, it was established that the national leasing authorization for vehicles with drivers enables, exclusively, the provision of intercity services. A 4-year moratorium (until 09/30/2022) was established as compensation for the regulatory change. For its part, the first additional provision authorized the Autonomous Communities to modify the operating conditions.  </w:t>
        <w:br/>
        <w:t xml:space="preserve">(26) In short, the new services are being developed in a context of regulation of the taxi and VTC markets that contains restrictions on entry and the exercise of activity in the market. Among these restrictions, the numerus clausus of licenses/authorizations, the limited geographical scope of the license/authorization, and, in the case of taxis, the regulated prices in the form of non-flexible public tariffs stand out.  </w:t>
        <w:br/>
        <w:t xml:space="preserve">(27) In light of the above, although there are some similarities between the regulation of taxi and VTC services, there is also a normative asymmetry between the two figures.  </w:t>
        <w:br/>
        <w:t xml:space="preserve">4. MARKET  </w:t>
        <w:br/>
        <w:t xml:space="preserve">4.1. Product Market  </w:t>
        <w:br/>
        <w:t xml:space="preserve">(28) The first complaint filed does not determine which market is affected. However, it indicates that the companies reported "offer a passenger transport service through companies with VTC authorization for tourist vehicles with drivers"17. For its part, subsequent complaints refer to the urban discretionary passenger transport market in tourist vehicles, which includes taxis and VTCs.  </w:t>
        <w:br/>
        <w:t xml:space="preserve">(29) The regulation to which both activities are subject has different scope and content. While taxis can pick up customers both on the street and at stops as well as through pre-booked services18, VTCs have their activity limited to pre-booked services (they cannot pick up customers directly on the street unless they have pre-booked the service and do not have designated stops). These pre-booked services were traditionally carried out via telephone and radio dispatchers, although new technologies have made the use of mobile applications much more relevant. In any case, national precedents consider that the provision of intermediation services for hiring through traditional methods (radio dispatchers) is not a substitute for the provision of intermediation services via mobile application19.  </w:t>
        <w:br/>
        <w:t xml:space="preserve">(30) Therefore, it is appropriate to analyze the intermediation services for hiring rides through mobile applications, where both actors are present. These services have been the subject of analysis in several cases by this CNMC20. The question of whether the relevant product market is the provision of intermediation services for hiring taxi and VTC rides through mobile applications (with taxis and VTCs being part of the same market) or whether it is possible to define two differentiated markets, one for taxis (provision of intermediation services for hiring taxi rides) and another for VTC (provision of intermediation services for hiring VTC rides)21, has been left open.  </w:t>
        <w:br/>
        <w:t xml:space="preserve">(31) The business model developed by online platforms depends on two interdependent demands, giving rise to a case of the so-called two-sided markets, according to the  </w:t>
        <w:br/>
        <w:t xml:space="preserve">18 See the report from the Competition Directorate in C/0802/16 DAIMLER/HAILO/MYTAXI/NEGOCIO HAILO.  </w:t>
        <w:br/>
        <w:t xml:space="preserve">19 For all, see the precedent C/0802/16 DAIMLER/HAILO/MYTAXI/NEGOCIO HAILO.  </w:t>
        <w:br/>
        <w:t xml:space="preserve">20 The most recent case being S/0637/18, UBER-CABIFY-UNAUTO-VTC. See also the case C/0802/16 DAIMLER/HAILO/MYTAXI/NEGOCIO HAILO.  </w:t>
        <w:br/>
        <w:t>21 National precedents (S/0637/18, UBER-CABIFY-UNAUTO-VTC and C/0802/16 DAIMLER/HAILO/MYTAXI/NEGOCIO HAILO) indicate that, from the demand perspective, for the end customer using applications, the final provision through taxi or VTC is significantly substitutable, without prejudice to potential issues of lack of availability of VTC services (generated by regulatory differences). From the supply perspective, however, substitutability may be limited, both by current regulations and by adjustment costs.</w:t>
      </w:r>
    </w:p>
    <w:p>
      <w:r>
        <w:rPr>
          <w:b/>
        </w:rPr>
        <w:t>[Pages 10–12]</w:t>
      </w:r>
    </w:p>
    <w:p>
      <w:r>
        <w:t xml:space="preserve">S/0005/20  </w:t>
        <w:br/>
        <w:t xml:space="preserve">UBER CABIFY BOLT  </w:t>
        <w:br/>
        <w:t xml:space="preserve">established in the new Communication from the Commission on the definition of the relevant market22 and in numerous community precedents23.  </w:t>
        <w:br/>
        <w:t xml:space="preserve">(32) The two-sided market generated consists of: (a) taxis or VTCs that register on the corresponding mobile application through their mobile devices, where taxis and VTCs are present on the supply side, and (b) end users of the vehicles (passengers) who download the application on their mobile devices.  </w:t>
        <w:br/>
        <w:t xml:space="preserve">(33) Therefore, this Council will analyze in the present case the market for the provision of intermediation services for the hiring of taxi and VTC rides through mobile applications, without prejudice to the possibility of analyzing two differentiated markets, one for taxis (provision of intermediation services for the hiring of taxi rides) and another for VTC (provision of intermediation services for the hiring of VTC rides)24. The use of one definition or another does not alter the conditions of the analysis, with the additional consideration that in this case it is not necessary to pronounce on the specific market definition used.  </w:t>
        <w:br/>
        <w:t xml:space="preserve">4.2. Geographic Market  </w:t>
        <w:br/>
        <w:t xml:space="preserve">(34) VTC activity is subject to authorization issued by the corresponding Autonomous Community, and services must usually be provided within it25.  </w:t>
        <w:br/>
        <w:t xml:space="preserve">(35) The provision of taxi services, for its part, is subordinate to obtaining municipal licenses, without prejudice to the possibility of creating joint provision areas in which previously authorized vehicles may circulate beyond the previously defined municipal terms26.  </w:t>
        <w:br/>
        <w:t xml:space="preserve">(36) On the other hand, from the platform's perspective, the application is the same for all cities, and it can be considered national in scope as services are offered through a single computer platform with the same functionalities and commercial conditions for intermediation between drivers and passengers27.  </w:t>
        <w:br/>
        <w:t xml:space="preserve">(37) The use of one definition or another does not alter the conditions of the analysis, with the additional consideration that in this case it is not necessary to pronounce on the specific market definition used.  </w:t>
        <w:br/>
        <w:t xml:space="preserve">5. OBJECT OF THE COMPLAINTS  </w:t>
        <w:br/>
        <w:t xml:space="preserve">5.1.1. Complaint from the APC  </w:t>
        <w:br/>
        <w:t xml:space="preserve">(38) The complaint from the APC indicates that actions have been taken to distort free competition through unfair acts contrary to Article 3 of the LDC. According to the complainant, the infringement by operators of vehicles for hire with driver (VTC) occurs due to the insecurity generated for customers regarding the final prices of the contracted services, as well as through acts of unfair competition against the taxi sector, which would constitute a violation of Articles 4 and 5 of Law 3/1991, of January 10, on Unfair Competition28.  </w:t>
        <w:br/>
        <w:t xml:space="preserve">(39) The complaint states that the prices advertised through the mobile applications of the passenger transport service platforms are misleading as they offer an initial estimate of the trip price that may vary based on variables such as intermediate stops, tolls, or changes in the itinerary.  </w:t>
        <w:br/>
        <w:t xml:space="preserve">(40) The complainant states that this act would constitute a violation of Article 3 of the LDC considering these contracting conditions as abusive and therefore contrary to the general contracting conditions29.  </w:t>
        <w:br/>
        <w:t xml:space="preserve">(41) Additionally, in the extension of the complaint submitted on September 6, 2022, the complainant argues that30:  </w:t>
        <w:br/>
        <w:t xml:space="preserve">“The companies being reported are acting in the form of a covert OLIGOPOLY. A market structure operates where there are few relevant competitors, and each of them has some capacity to influence the price and equilibrium quantity. Several companies agree not to compete on prices, setting an external application, the same purchase or sale prices abusively for VTC companies. In this way, they agree not to compete on prices among themselves, being subject to the algorithm of a multinational application.”  </w:t>
        <w:br/>
        <w:t xml:space="preserve">(42) It is inferred (although not explicitly mentioned) that the complainant is also alluding to a violation of Article 1 of the LDC.  </w:t>
        <w:br/>
        <w:t xml:space="preserve">5.1.2. Complaint from TAXI PROJECT  </w:t>
        <w:br/>
        <w:t xml:space="preserve">(43) The complaint indicates that there is coordination regarding price setting by VTC companies, which would be acting in the form of a cartel in violation of Article 1 of the LDC. This coordination would be carried out not through an explicit agreement but tacitly through the use of the algorithm as a means of determining the price31, supporting its claims with a report prepared for this purpose on the “Adversarial Audit of Vehicle Rental Platforms”32.  </w:t>
        <w:br/>
        <w:t xml:space="preserve">(44) This price setting would also be done in such a way that efficient costs are not reached by the transport platforms, with the aim of driving taxis out of the market.  </w:t>
        <w:br/>
        <w:t xml:space="preserve">(45) According to the complainant, this imposition of prices below efficient costs would have a series of detrimental effects on the final consumer, such as the reduction of service quality or the imposition of discriminatory conditions such as “imposition of prices based on their need, distance to the destination, time, etc.”.  </w:t>
        <w:br/>
        <w:t xml:space="preserve">(46) This conduct would also constitute, according to the complaint, a violation of Articles 2 of the LDC and 102 of the TFEU.  </w:t>
        <w:br/>
        <w:t xml:space="preserve">5.1.3. Complaint from the representative of 137 individuals  </w:t>
        <w:br/>
        <w:t>(47) In their document, the representative of the complaining individuals states that the transport platforms would be carrying out a strategy aimed at driving taxi drivers out of the market. Specifically, the platforms would be setting prices below service costs and compensating by raising prices “unreasonably in circumstances of consumer need”33.</w:t>
      </w:r>
    </w:p>
    <w:p>
      <w:r>
        <w:rPr>
          <w:b/>
        </w:rPr>
        <w:t>[Pages 13–15]</w:t>
      </w:r>
    </w:p>
    <w:p>
      <w:r>
        <w:t xml:space="preserve">S/0005/20  </w:t>
        <w:br/>
        <w:t xml:space="preserve">UBER CABIFY BOLT  </w:t>
        <w:br/>
        <w:t xml:space="preserve">(48) This would constitute a violation of Article 1 of the LDC insofar as the platforms would be carrying out this action jointly, through the indirect setting of service prices (with reference to Article 1.1.a of the LDC), as well as Article 3 of the LDC for selling at a loss.  </w:t>
        <w:br/>
        <w:t xml:space="preserve">(49) Furthermore, the complaint also refers to Article 1.1.d of the LDC by stating that “the companies reported are incurring in the application, in commercial or service relationships, of unequal conditions for equivalent services that place some competitors at a disadvantage compared to others.”  </w:t>
        <w:br/>
        <w:t xml:space="preserve">6. REPORTED FACTS  </w:t>
        <w:br/>
        <w:t xml:space="preserve">6.1. Pricing systems and information available about them on the applications and websites of the platforms  </w:t>
        <w:br/>
        <w:t xml:space="preserve">(50) Regarding UBER's price estimation and according to information provided by the complainant and gathered by the Competition Directorate34, UBER's website, in its price estimation section, proposes a price calculator based on origin and destination, explicitly stating: “In most cities, the cost is calculated before you confirm the trip. In others, you will see an estimated price range.”  </w:t>
        <w:br/>
        <w:t xml:space="preserve">(51) Additionally, UBER breaks down the base fare, the request fee, and the hours and areas of high demand. This information is accessible from any device with internet access.  </w:t>
        <w:br/>
        <w:t xml:space="preserve">(52) As for CABIFY, according to the information provided by the complainant in the General Terms of Use section, specifically in section 5. Payment and Billing Conditions, it is established that35: “The user agrees that during periods of higher demand, a variable additional cost will be charged. This additional cost is included in the final price. At the moment the user requests the service through the Application and/or Website, they will be able to consult the estimate of this cost along with the estimated price of the trip (which will include applicable taxes and fees), which will be displayed as long as the user has included the destination point. Any discrepancy between that estimated price and the price that is finally charged to the User will respond to the modification by the User of the route (and stops) of the requested trip, as well as the time that the user has made the driver wait once they arrive at the indicated pickup point…”  </w:t>
        <w:br/>
        <w:t xml:space="preserve">34 https://www.uber.com/pe/es/price-estimate/  </w:t>
        <w:br/>
        <w:t xml:space="preserve">35 https://cabify.com/es/legal/terminos-y-condiciones  </w:t>
        <w:br/>
        <w:t xml:space="preserve">Comisión Nacional de los Mercados y la Competencia 13 de 26  </w:t>
        <w:br/>
        <w:t xml:space="preserve">C/ Alcalá, 47 – 28014 Madrid - C/ Bolivia, 56 – 08018 Barcelona  </w:t>
        <w:br/>
        <w:t>www.cnmc.es</w:t>
      </w:r>
    </w:p>
    <w:p>
      <w:r>
        <w:t xml:space="preserve">S/0005/20  </w:t>
        <w:br/>
        <w:t xml:space="preserve">UBER CABIFY BOLT  </w:t>
        <w:br/>
        <w:t xml:space="preserve">(53) The public information on CABIFY's website36 about rates indicates that the calculated price for trips in the different cities where it operates is determined taking into account factors such as the price per kilometer, per minute, service fee, safety and sustainability, and additional costs, as well as the vehicle category37.  </w:t>
        <w:br/>
        <w:t xml:space="preserve">(54) Finally, regarding BOLT, the section “Terms and Conditions for Passengers” on its website states that38: “You may receive offers to use a ride option that allows you to agree on a Fixed Fare in advance for a trip from the Provider's Transport Service. The Fixed Fare will not be applied if you change your destination during the trip, if the trip takes longer than estimated due to traffic or other factors, or when unexpected circumstances impact the material characteristics of the trip (e.g.: using a route where tolls apply) or when not permitted by applicable law.”  </w:t>
        <w:br/>
        <w:t xml:space="preserve">(55) Likewise, according to the information provided on its website, the offered price consists of the starting price plus the sum of the price per minute and price per kilometer of the trips, which depend on the category of car requested by the customer, and are slightly different in each city where services are offered, even within the same country39.  </w:t>
        <w:br/>
        <w:t xml:space="preserve">6.2. Price sample provided by one of the complainants  </w:t>
        <w:br/>
        <w:t xml:space="preserve">(56) The analysis of the prices provided by one of the complainants reproduces a representative sample of certain measurements40:  </w:t>
        <w:br/>
        <w:t xml:space="preserve">36 https://cabify.com/es/spain/madrid#tariffs  </w:t>
        <w:br/>
        <w:t xml:space="preserve">37 https://help.cabify.com/hc/es/articles/360000932905--C%C3%B3mo-se-calcula-el-precio-de-un-viaje-  </w:t>
        <w:br/>
        <w:t xml:space="preserve">38 https://bolt.eu/es-es/legal/tnc-pasajeros/  </w:t>
        <w:br/>
        <w:t xml:space="preserve">39 https://bolt.eu/es-es/cities/  </w:t>
        <w:br/>
        <w:t xml:space="preserve">40 Folios 710 a 716.  </w:t>
        <w:br/>
        <w:t xml:space="preserve">Comisión Nacional de los Mercados y la Competencia 14 de 26  </w:t>
        <w:br/>
        <w:t xml:space="preserve">C/ Alcalá, 47 – 28014 Madrid - C/ Bolivia, 56 – 08018 Barcelona  </w:t>
        <w:br/>
        <w:t>www.cnmc.es</w:t>
      </w:r>
    </w:p>
    <w:p>
      <w:r>
        <w:t xml:space="preserve">S/0005/20  </w:t>
        <w:br/>
        <w:t xml:space="preserve">UBER CABIFY BOLT  </w:t>
        <w:br/>
        <w:t xml:space="preserve">Table 1. Sample of prices offered by platforms and taxis for trips in Madrid  </w:t>
        <w:br/>
        <w:t xml:space="preserve">6.3. Platforms' policy in relation to their drivers  </w:t>
        <w:br/>
        <w:t xml:space="preserve">6.3.1. Pricing and discount policy  </w:t>
        <w:br/>
        <w:t xml:space="preserve">(57) Regarding the possibility of deviating from the price set by the platform, the UBER contract states that [START CONFIDENTIAL EXCEPT FOR UBER]  </w:t>
        <w:br/>
        <w:t xml:space="preserve">[END CONFIDENTIAL EXCEPT FOR UBER].  </w:t>
        <w:br/>
        <w:t xml:space="preserve">(58) The CABIFY contract [START CONFIDENTIAL EXCEPT FOR CABIFY]  </w:t>
        <w:br/>
        <w:t xml:space="preserve">[END CONFIDENTIAL EXCEPT FOR CABIFY].  </w:t>
        <w:br/>
        <w:t xml:space="preserve">(59) Finally, the BOLT contract states that42:  </w:t>
        <w:br/>
        <w:t xml:space="preserve">[START CONFIDENTIAL EXCEPT FOR BOLT]  </w:t>
        <w:br/>
        <w:t xml:space="preserve">41 Folio 272.  </w:t>
        <w:br/>
        <w:t xml:space="preserve">42 Folio 589.  </w:t>
        <w:br/>
        <w:t xml:space="preserve">Comisión Nacional de los Mercados y la Competencia 15 de 26  </w:t>
        <w:br/>
        <w:t xml:space="preserve">C/ Alcalá, 47 – 28014 Madrid - C/ Bolivia, 56 – 08018 Barcelona  </w:t>
        <w:br/>
        <w:t xml:space="preserve">www.cnmc.es  </w:t>
        <w:br/>
        <w:t xml:space="preserve">Day  </w:t>
        <w:br/>
        <w:t xml:space="preserve">0 3  </w:t>
        <w:br/>
        <w:t xml:space="preserve">0 3  </w:t>
        <w:br/>
        <w:t xml:space="preserve">0 3  </w:t>
        <w:br/>
        <w:t xml:space="preserve">0 3  </w:t>
        <w:br/>
        <w:t xml:space="preserve">0 4  </w:t>
        <w:br/>
        <w:t xml:space="preserve">0 4  </w:t>
        <w:br/>
        <w:t xml:space="preserve">0 5  </w:t>
        <w:br/>
        <w:t xml:space="preserve">0 7  </w:t>
        <w:br/>
        <w:t xml:space="preserve">/  </w:t>
        <w:br/>
        <w:t xml:space="preserve">/  </w:t>
        <w:br/>
        <w:t xml:space="preserve">/  </w:t>
        <w:br/>
        <w:t xml:space="preserve">/  </w:t>
        <w:br/>
        <w:t xml:space="preserve">/  </w:t>
        <w:br/>
        <w:t xml:space="preserve">/  </w:t>
        <w:br/>
        <w:t xml:space="preserve">/  </w:t>
        <w:br/>
        <w:t xml:space="preserve">/  </w:t>
        <w:br/>
        <w:t xml:space="preserve">0  </w:t>
        <w:br/>
        <w:t xml:space="preserve">0  </w:t>
        <w:br/>
        <w:t xml:space="preserve">0  </w:t>
        <w:br/>
        <w:t xml:space="preserve">0  </w:t>
        <w:br/>
        <w:t xml:space="preserve">0  </w:t>
        <w:br/>
        <w:t xml:space="preserve">0  </w:t>
        <w:br/>
        <w:t xml:space="preserve">0  </w:t>
        <w:br/>
        <w:t xml:space="preserve">0  </w:t>
        <w:br/>
        <w:t xml:space="preserve">4  </w:t>
        <w:br/>
        <w:t xml:space="preserve">4  </w:t>
        <w:br/>
        <w:t xml:space="preserve">4  </w:t>
        <w:br/>
        <w:t xml:space="preserve">4  </w:t>
        <w:br/>
        <w:t xml:space="preserve">4  </w:t>
        <w:br/>
        <w:t xml:space="preserve">4  </w:t>
        <w:br/>
        <w:t xml:space="preserve">4  </w:t>
        <w:br/>
        <w:t xml:space="preserve">4  </w:t>
        <w:br/>
        <w:t xml:space="preserve">/  </w:t>
        <w:br/>
        <w:t xml:space="preserve">/  </w:t>
        <w:br/>
        <w:t xml:space="preserve">/  </w:t>
        <w:br/>
        <w:t xml:space="preserve">/  </w:t>
        <w:br/>
        <w:t xml:space="preserve">/  </w:t>
        <w:br/>
        <w:t xml:space="preserve">/  </w:t>
        <w:br/>
        <w:t xml:space="preserve">/  </w:t>
        <w:br/>
        <w:t xml:space="preserve">/  </w:t>
        <w:br/>
        <w:t xml:space="preserve">2  </w:t>
        <w:br/>
        <w:t xml:space="preserve">2  </w:t>
        <w:br/>
        <w:t xml:space="preserve">2  </w:t>
        <w:br/>
        <w:t xml:space="preserve">2  </w:t>
        <w:br/>
        <w:t xml:space="preserve">2  </w:t>
        <w:br/>
        <w:t xml:space="preserve">2  </w:t>
        <w:br/>
        <w:t xml:space="preserve">2  </w:t>
        <w:br/>
        <w:t xml:space="preserve">2  </w:t>
        <w:br/>
        <w:t xml:space="preserve">0  </w:t>
        <w:br/>
        <w:t xml:space="preserve">0  </w:t>
        <w:br/>
        <w:t xml:space="preserve">0  </w:t>
        <w:br/>
        <w:t xml:space="preserve">0  </w:t>
        <w:br/>
        <w:t xml:space="preserve">0  </w:t>
        <w:br/>
        <w:t xml:space="preserve">0  </w:t>
        <w:br/>
        <w:t xml:space="preserve">0  </w:t>
        <w:br/>
        <w:t xml:space="preserve">0  </w:t>
        <w:br/>
        <w:t xml:space="preserve">2  </w:t>
        <w:br/>
        <w:t xml:space="preserve">2  </w:t>
        <w:br/>
        <w:t xml:space="preserve">2  </w:t>
        <w:br/>
        <w:t xml:space="preserve">2  </w:t>
        <w:br/>
        <w:t xml:space="preserve">2  </w:t>
        <w:br/>
        <w:t xml:space="preserve">2  </w:t>
        <w:br/>
        <w:t xml:space="preserve">2  </w:t>
        <w:br/>
        <w:t xml:space="preserve">2  </w:t>
        <w:br/>
        <w:t xml:space="preserve">3  </w:t>
        <w:br/>
        <w:t xml:space="preserve">3  </w:t>
        <w:br/>
        <w:t xml:space="preserve">3  </w:t>
        <w:br/>
        <w:t xml:space="preserve">3  </w:t>
        <w:br/>
        <w:t xml:space="preserve">3  </w:t>
        <w:br/>
        <w:t xml:space="preserve">3  </w:t>
        <w:br/>
        <w:t xml:space="preserve">3  </w:t>
        <w:br/>
        <w:t xml:space="preserve">3  </w:t>
        <w:br/>
        <w:t xml:space="preserve">Hour  </w:t>
        <w:br/>
        <w:t xml:space="preserve">3:18  </w:t>
        <w:br/>
        <w:t xml:space="preserve">3:36  </w:t>
        <w:br/>
        <w:t xml:space="preserve">9:47  </w:t>
        <w:br/>
        <w:t xml:space="preserve">11:10  </w:t>
        <w:br/>
        <w:t xml:space="preserve">5:09  </w:t>
        <w:br/>
        <w:t xml:space="preserve">16:43  </w:t>
        <w:br/>
        <w:t xml:space="preserve">9:07  </w:t>
        <w:br/>
        <w:t xml:space="preserve">14:04  </w:t>
        <w:br/>
        <w:t xml:space="preserve">T  </w:t>
        <w:br/>
        <w:t xml:space="preserve">E  </w:t>
        <w:br/>
        <w:t xml:space="preserve">A  </w:t>
        <w:br/>
        <w:t xml:space="preserve">C  </w:t>
        <w:br/>
        <w:t xml:space="preserve">H  </w:t>
        <w:br/>
        <w:t xml:space="preserve">C  </w:t>
        <w:br/>
        <w:t xml:space="preserve">A  </w:t>
        <w:br/>
        <w:t xml:space="preserve">C  </w:t>
        <w:br/>
        <w:t xml:space="preserve">E  </w:t>
        <w:br/>
        <w:t xml:space="preserve">H  </w:t>
        <w:br/>
        <w:t xml:space="preserve">A  </w:t>
        <w:br/>
        <w:t xml:space="preserve">C  </w:t>
        <w:br/>
        <w:t xml:space="preserve">E  </w:t>
        <w:br/>
        <w:t xml:space="preserve">A  </w:t>
        <w:br/>
        <w:t xml:space="preserve">H  </w:t>
        <w:br/>
        <w:t xml:space="preserve">C  </w:t>
        <w:br/>
        <w:t xml:space="preserve">A  </w:t>
        <w:br/>
        <w:t xml:space="preserve">r a y e c t o  </w:t>
        <w:br/>
        <w:t xml:space="preserve">s t a c ió n d e A t o c h a -  </w:t>
        <w:br/>
        <w:t xml:space="preserve">e r o p u e r t o d e M a d r id T 4  </w:t>
        <w:br/>
        <w:t xml:space="preserve">a lle C a r t a g e n a 3 6 -  </w:t>
        <w:br/>
        <w:t xml:space="preserve">o s p it a l P u e r t a d e H ie r r o  </w:t>
        <w:br/>
        <w:t xml:space="preserve">a lle J u a n B r a v o 4 9 -  </w:t>
        <w:br/>
        <w:t xml:space="preserve">e r o p u e r t o d e M a d r id T 4  </w:t>
        <w:br/>
        <w:t xml:space="preserve">a lle E m ilio V a r g a s 3 -  </w:t>
        <w:br/>
        <w:t xml:space="preserve">s t a c ió n d e A t o c h a  </w:t>
        <w:br/>
        <w:t xml:space="preserve">o t e l M e lia S e r r a n o -  </w:t>
        <w:br/>
        <w:t xml:space="preserve">e r o p u e r t o d e M a d r id T 4  </w:t>
        <w:br/>
        <w:t xml:space="preserve">a lle M é n d e z Á lv a r o 1 5 -  </w:t>
        <w:br/>
        <w:t xml:space="preserve">s t a c ió n d e C h a m a r t ín  </w:t>
        <w:br/>
        <w:t xml:space="preserve">v e n id a B o n n 1 3 -  </w:t>
        <w:br/>
        <w:t xml:space="preserve">o s p it a l M o n t e p r ín c ip e  </w:t>
        <w:br/>
        <w:t xml:space="preserve">a lle T o le d o 3 3 -  </w:t>
        <w:br/>
        <w:t xml:space="preserve">e r o p u e r t o d e M a d r id T 4  </w:t>
        <w:br/>
        <w:t xml:space="preserve">B o lt  </w:t>
        <w:br/>
        <w:t xml:space="preserve">3 5  </w:t>
        <w:br/>
        <w:t xml:space="preserve">1 9  </w:t>
        <w:br/>
        <w:t xml:space="preserve">1 4  </w:t>
        <w:br/>
        <w:t xml:space="preserve">5  </w:t>
        <w:br/>
        <w:t xml:space="preserve">2 2  </w:t>
        <w:br/>
        <w:t xml:space="preserve">8  </w:t>
        <w:br/>
        <w:t xml:space="preserve">2 6  </w:t>
        <w:br/>
        <w:t xml:space="preserve">2 3  </w:t>
        <w:br/>
        <w:t xml:space="preserve">,0  </w:t>
        <w:br/>
        <w:t xml:space="preserve">,1  </w:t>
        <w:br/>
        <w:t xml:space="preserve">,6  </w:t>
        <w:br/>
        <w:t xml:space="preserve">,0  </w:t>
        <w:br/>
        <w:t xml:space="preserve">,5  </w:t>
        <w:br/>
        <w:t xml:space="preserve">,4  </w:t>
        <w:br/>
        <w:t xml:space="preserve">,4  </w:t>
        <w:br/>
        <w:t xml:space="preserve">,1  </w:t>
        <w:br/>
        <w:t xml:space="preserve">0  </w:t>
        <w:br/>
        <w:t xml:space="preserve">5  </w:t>
        <w:br/>
        <w:t xml:space="preserve">0  </w:t>
        <w:br/>
        <w:t xml:space="preserve">0  </w:t>
        <w:br/>
        <w:t xml:space="preserve">5  </w:t>
        <w:br/>
        <w:t xml:space="preserve">0  </w:t>
        <w:br/>
        <w:t xml:space="preserve">5  </w:t>
        <w:br/>
        <w:t xml:space="preserve">0  </w:t>
        <w:br/>
        <w:t xml:space="preserve">€  </w:t>
        <w:br/>
        <w:t xml:space="preserve">€  </w:t>
        <w:br/>
        <w:t xml:space="preserve">€  </w:t>
        <w:br/>
        <w:t xml:space="preserve">€  </w:t>
        <w:br/>
        <w:t xml:space="preserve">€  </w:t>
        <w:br/>
        <w:t xml:space="preserve">€  </w:t>
        <w:br/>
        <w:t xml:space="preserve">€  </w:t>
        <w:br/>
        <w:t xml:space="preserve">€  </w:t>
        <w:br/>
        <w:t xml:space="preserve">C a b if y  </w:t>
        <w:br/>
        <w:t xml:space="preserve">2 0  </w:t>
        <w:br/>
        <w:t xml:space="preserve">2 5  </w:t>
        <w:br/>
        <w:t xml:space="preserve">1 7  </w:t>
        <w:br/>
        <w:t xml:space="preserve">1 3  </w:t>
        <w:br/>
        <w:t xml:space="preserve">1 5  </w:t>
        <w:br/>
        <w:t xml:space="preserve">1 4  </w:t>
        <w:br/>
        <w:t xml:space="preserve">2 8  </w:t>
        <w:br/>
        <w:t xml:space="preserve">3 9  </w:t>
        <w:br/>
        <w:t xml:space="preserve">,0  </w:t>
        <w:br/>
        <w:t xml:space="preserve">,0  </w:t>
        <w:br/>
        <w:t xml:space="preserve">,0  </w:t>
        <w:br/>
        <w:t xml:space="preserve">,0  </w:t>
        <w:br/>
        <w:t xml:space="preserve">,0  </w:t>
        <w:br/>
        <w:t xml:space="preserve">,0  </w:t>
        <w:br/>
        <w:t xml:space="preserve">,0  </w:t>
        <w:br/>
        <w:t xml:space="preserve">,0  </w:t>
        <w:br/>
        <w:t xml:space="preserve">0  </w:t>
        <w:br/>
        <w:t xml:space="preserve">0  </w:t>
        <w:br/>
        <w:t xml:space="preserve">0  </w:t>
        <w:br/>
        <w:t xml:space="preserve">0  </w:t>
        <w:br/>
        <w:t xml:space="preserve">0  </w:t>
        <w:br/>
        <w:t xml:space="preserve">0  </w:t>
        <w:br/>
        <w:t xml:space="preserve">0  </w:t>
        <w:br/>
        <w:t xml:space="preserve">0  </w:t>
        <w:br/>
        <w:t xml:space="preserve">€  </w:t>
        <w:br/>
        <w:t xml:space="preserve">€  </w:t>
        <w:br/>
        <w:t xml:space="preserve">€  </w:t>
        <w:br/>
        <w:t xml:space="preserve">€  </w:t>
        <w:br/>
        <w:t xml:space="preserve">€  </w:t>
        <w:br/>
        <w:t xml:space="preserve">€  </w:t>
        <w:br/>
        <w:t xml:space="preserve">€  </w:t>
        <w:br/>
        <w:t xml:space="preserve">€  </w:t>
        <w:br/>
        <w:t xml:space="preserve">U b e r  </w:t>
        <w:br/>
        <w:t xml:space="preserve">1  </w:t>
        <w:br/>
        <w:t xml:space="preserve">2  </w:t>
        <w:br/>
        <w:t xml:space="preserve">2  </w:t>
        <w:br/>
        <w:t xml:space="preserve">1  </w:t>
        <w:br/>
        <w:t xml:space="preserve">1  </w:t>
        <w:br/>
        <w:t xml:space="preserve">1  </w:t>
        <w:br/>
        <w:t xml:space="preserve">2  </w:t>
        <w:br/>
        <w:t xml:space="preserve">5  </w:t>
        <w:br/>
        <w:t xml:space="preserve">9  </w:t>
        <w:br/>
        <w:t xml:space="preserve">2  </w:t>
        <w:br/>
        <w:t xml:space="preserve">2  </w:t>
        <w:br/>
        <w:t xml:space="preserve">0  </w:t>
        <w:br/>
        <w:t xml:space="preserve">6  </w:t>
        <w:br/>
        <w:t xml:space="preserve">2  </w:t>
        <w:br/>
        <w:t xml:space="preserve">2  </w:t>
        <w:br/>
        <w:t xml:space="preserve">5  </w:t>
        <w:br/>
        <w:t xml:space="preserve">,7  </w:t>
        <w:br/>
        <w:t xml:space="preserve">,3  </w:t>
        <w:br/>
        <w:t xml:space="preserve">,0  </w:t>
        <w:br/>
        <w:t xml:space="preserve">,8  </w:t>
        <w:br/>
        <w:t xml:space="preserve">,2  </w:t>
        <w:br/>
        <w:t xml:space="preserve">,4  </w:t>
        <w:br/>
        <w:t xml:space="preserve">,9  </w:t>
        <w:br/>
        <w:t xml:space="preserve">,1  </w:t>
        <w:br/>
        <w:t xml:space="preserve">5  </w:t>
        <w:br/>
        <w:t xml:space="preserve">3  </w:t>
        <w:br/>
        <w:t xml:space="preserve">7  </w:t>
        <w:br/>
        <w:t xml:space="preserve">2  </w:t>
        <w:br/>
        <w:t xml:space="preserve">6  </w:t>
        <w:br/>
        <w:t xml:space="preserve">0  </w:t>
        <w:br/>
        <w:t xml:space="preserve">8  </w:t>
        <w:br/>
        <w:t xml:space="preserve">0  </w:t>
        <w:br/>
        <w:t xml:space="preserve">€  </w:t>
        <w:br/>
        <w:t xml:space="preserve">€  </w:t>
        <w:br/>
        <w:t xml:space="preserve">€  </w:t>
        <w:br/>
        <w:t xml:space="preserve">€  </w:t>
        <w:br/>
        <w:t xml:space="preserve">€  </w:t>
        <w:br/>
        <w:t xml:space="preserve">€  </w:t>
        <w:br/>
        <w:t xml:space="preserve">€  </w:t>
        <w:br/>
        <w:t xml:space="preserve">€  </w:t>
        <w:br/>
        <w:t xml:space="preserve">T X M A  </w:t>
        <w:br/>
        <w:t xml:space="preserve">3  </w:t>
        <w:br/>
        <w:t xml:space="preserve">4  </w:t>
        <w:br/>
        <w:t xml:space="preserve">3  </w:t>
        <w:br/>
        <w:t xml:space="preserve">1  </w:t>
        <w:br/>
        <w:t xml:space="preserve">3  </w:t>
        <w:br/>
        <w:t xml:space="preserve">1  </w:t>
        <w:br/>
        <w:t xml:space="preserve">3  </w:t>
        <w:br/>
        <w:t xml:space="preserve">3  </w:t>
        <w:br/>
        <w:t xml:space="preserve">D  </w:t>
        <w:br/>
        <w:t xml:space="preserve">0 3  </w:t>
        <w:br/>
        <w:t xml:space="preserve">0 3  </w:t>
        <w:br/>
        <w:t xml:space="preserve">0 3  </w:t>
        <w:br/>
        <w:t xml:space="preserve">6  </w:t>
        <w:br/>
        <w:t xml:space="preserve">0  </w:t>
        <w:br/>
        <w:t xml:space="preserve">,0  </w:t>
        <w:br/>
        <w:t xml:space="preserve">,1  </w:t>
        <w:br/>
        <w:t xml:space="preserve">,0  </w:t>
        <w:br/>
        <w:t xml:space="preserve">,3  </w:t>
        <w:br/>
        <w:t xml:space="preserve">,0  </w:t>
        <w:br/>
        <w:t xml:space="preserve">,8  </w:t>
        <w:br/>
        <w:t xml:space="preserve">,3  </w:t>
        <w:br/>
        <w:t xml:space="preserve">,0  </w:t>
        <w:br/>
        <w:t xml:space="preserve">0  </w:t>
        <w:br/>
        <w:t xml:space="preserve">0  </w:t>
        <w:br/>
        <w:t xml:space="preserve">0  </w:t>
        <w:br/>
        <w:t xml:space="preserve">0  </w:t>
        <w:br/>
        <w:t xml:space="preserve">0  </w:t>
        <w:br/>
        <w:t xml:space="preserve">0  </w:t>
        <w:br/>
        <w:t xml:space="preserve">0  </w:t>
        <w:br/>
        <w:t xml:space="preserve">0  </w:t>
        <w:br/>
        <w:t xml:space="preserve">€  </w:t>
        <w:br/>
        <w:t xml:space="preserve">€  </w:t>
        <w:br/>
        <w:t xml:space="preserve">€  </w:t>
        <w:br/>
        <w:t xml:space="preserve">€  </w:t>
        <w:br/>
        <w:t xml:space="preserve">€  </w:t>
        <w:br/>
        <w:t xml:space="preserve">€  </w:t>
        <w:br/>
        <w:t>€</w:t>
      </w:r>
    </w:p>
    <w:p>
      <w:r>
        <w:rPr>
          <w:b/>
        </w:rPr>
        <w:t>[Pages 16–18]</w:t>
      </w:r>
    </w:p>
    <w:p>
      <w:r>
        <w:t xml:space="preserve">S/0005/20  </w:t>
        <w:br/>
        <w:t xml:space="preserve">UBER CABIFY BOLT  </w:t>
        <w:br/>
        <w:t>[END CONFIDENTIAL EXCEPT FOR BOLT].</w:t>
      </w:r>
    </w:p>
    <w:p>
      <w:r>
        <w:t xml:space="preserve">(60) Regarding the driver's obligation to accept discounts and promotions, the UBER contract states that [START CONFIDENTIAL EXCEPT FOR UBER]  </w:t>
        <w:br/>
        <w:t>[END CONFIDENTIAL EXCEPT FOR UBER]43.</w:t>
      </w:r>
    </w:p>
    <w:p>
      <w:r>
        <w:t xml:space="preserve">(61) The CABIFY contract [START CONFIDENTIAL EXCEPT FOR CABIFY]  </w:t>
        <w:br/>
        <w:t>[END CONFIDENTIAL EXCEPT FOR CABIFY].</w:t>
      </w:r>
    </w:p>
    <w:p>
      <w:r>
        <w:t xml:space="preserve">(62) For its part, BOLT considers [START CONFIDENTIAL EXCEPT FOR BOLT]  </w:t>
        <w:br/>
        <w:t>[END CONFIDENTIAL EXCEPT FOR BOLT]</w:t>
      </w:r>
    </w:p>
    <w:p>
      <w:r>
        <w:t>6.3.2. Customer Acquisition</w:t>
      </w:r>
    </w:p>
    <w:p>
      <w:r>
        <w:t xml:space="preserve">(63) Regarding customer acquisition, UBER indicates in clause 7.i of the contract that [START CONFIDENTIAL EXCEPT FOR UBER]  </w:t>
        <w:br/>
        <w:t>[END CONFIDENTIAL EXCEPT FOR UBER].</w:t>
      </w:r>
    </w:p>
    <w:p>
      <w:r>
        <w:t xml:space="preserve">(64) For its part, the CABIFY contract states: [START CONFIDENTIAL EXCEPT FOR CABIFY]  </w:t>
        <w:br/>
        <w:t>[END CONFIDENTIAL EXCEPT FOR CABIFY].</w:t>
      </w:r>
    </w:p>
    <w:p>
      <w:r>
        <w:t xml:space="preserve">(65) The BOLT contract [START CONFIDENTIAL EXCEPT FOR BOLT]  </w:t>
        <w:br/>
        <w:t xml:space="preserve">[END CONFIDENTIAL EXCEPT FOR BOLT].  </w:t>
        <w:br/>
        <w:t xml:space="preserve">43 Page 272.  </w:t>
        <w:br/>
        <w:t xml:space="preserve">44 Page 595.  </w:t>
        <w:br/>
        <w:t xml:space="preserve">45 Page 271.  </w:t>
        <w:br/>
        <w:t xml:space="preserve">46 Page 506.  </w:t>
        <w:br/>
        <w:t xml:space="preserve">National Commission on Markets and Competition 16 of 26  </w:t>
        <w:br/>
        <w:t xml:space="preserve">C/ Alcalá, 47 – 28014 Madrid - C/ Bolivia, 56 – 08018 Barcelona  </w:t>
        <w:br/>
        <w:t>www.cnmc.es</w:t>
      </w:r>
    </w:p>
    <w:p>
      <w:r>
        <w:t xml:space="preserve">S/0005/20  </w:t>
        <w:br/>
        <w:t xml:space="preserve">UBER CABIFY BOLT  </w:t>
        <w:br/>
        <w:t>6.3.3. Service Organization</w:t>
      </w:r>
    </w:p>
    <w:p>
      <w:r>
        <w:t xml:space="preserve">(66) Regarding service organization issues, the BOLT contract [START CONFIDENTIAL EXCEPT FOR BOLT]  </w:t>
        <w:br/>
        <w:t xml:space="preserve">[END CONFIDENTIAL EXCEPT FOR BOLT]. In the CABIFY contract [START CONFIDENTIAL EXCEPT FOR CABIFY]  </w:t>
        <w:br/>
        <w:t xml:space="preserve">[END CONFIDENTIAL EXCEPT FOR CABIFY]. In the UBER contract [START CONFIDENTIAL EXCEPT FOR UBER]  </w:t>
        <w:br/>
        <w:t>[END CONFIDENTIAL EXCEPT FOR UBER].</w:t>
      </w:r>
    </w:p>
    <w:p>
      <w:r>
        <w:t xml:space="preserve">(67) Finally, regarding valuation mechanisms, the BOLT contract states in its clause 13.5 that [START CONFIDENTIAL EXCEPT FOR BOLT]  </w:t>
        <w:br/>
        <w:t xml:space="preserve">[END CONFIDENTIAL EXCEPT FOR BOLT]. The UBER contract states: [START CONFIDENTIAL EXCEPT FOR UBER]  </w:t>
        <w:br/>
        <w:t xml:space="preserve">[END CONFIDENTIAL EXCEPT FOR UBER]. Finally, the CABIFY contract establishes: [START CONFIDENTIAL EXCEPT FOR CABIFY]  </w:t>
        <w:br/>
        <w:t>[END CONFIDENTIAL EXCEPT FOR CABIFY].</w:t>
      </w:r>
    </w:p>
    <w:p>
      <w:r>
        <w:t>6.3.4. Autonomy in Accepting Rides</w:t>
      </w:r>
    </w:p>
    <w:p>
      <w:r>
        <w:t xml:space="preserve">(68) The UBER contract states regarding the autonomy of drivers: [START CONFIDENTIAL EXCEPT FOR UBER]  </w:t>
        <w:br/>
        <w:t>[END CONFIDENTIAL EXCEPT FOR UBER].</w:t>
      </w:r>
    </w:p>
    <w:p>
      <w:r>
        <w:t xml:space="preserve">(69) For its part, BOLT [START CONFIDENTIAL EXCEPT FOR BOLT]  </w:t>
        <w:br/>
        <w:t xml:space="preserve">[END CONFIDENTIAL EXCEPT FOR BOLT]. The BOLT contract states that: [START CONFIDENTIAL EXCEPT FOR BOLT]  </w:t>
        <w:br/>
        <w:t xml:space="preserve">47 Page 588.  </w:t>
        <w:br/>
        <w:t xml:space="preserve">48 Page 506.  </w:t>
        <w:br/>
        <w:t xml:space="preserve">49 Page 270.  </w:t>
        <w:br/>
        <w:t xml:space="preserve">50 Page 599.  </w:t>
        <w:br/>
        <w:t xml:space="preserve">51 Page 271.  </w:t>
        <w:br/>
        <w:t xml:space="preserve">52 Page 506.  </w:t>
        <w:br/>
        <w:t xml:space="preserve">53 Page 271.  </w:t>
        <w:br/>
        <w:t xml:space="preserve">National Commission on Markets and Competition 17 of 26  </w:t>
        <w:br/>
        <w:t xml:space="preserve">C/ Alcalá, 47 – 28014 Madrid - C/ Bolivia, 56 – 08018 Barcelona  </w:t>
        <w:br/>
        <w:t>www.cnmc.es</w:t>
      </w:r>
    </w:p>
    <w:p>
      <w:r>
        <w:t xml:space="preserve">S/0005/20  </w:t>
        <w:br/>
        <w:t xml:space="preserve">UBER CABIFY BOLT  </w:t>
        <w:br/>
        <w:t>[END CONFIDENTIAL EXCEPT FOR BOLT].</w:t>
      </w:r>
    </w:p>
    <w:p>
      <w:r>
        <w:t xml:space="preserve">(70) The CABIFY contract states that [CONFIDENTIAL EXCEPT FOR CABIFY]  </w:t>
        <w:br/>
        <w:t>[CONFIDENTIAL EXCEPT FOR CABIFY].</w:t>
      </w:r>
    </w:p>
    <w:p>
      <w:r>
        <w:t>6.3.5. Risk Sharing Clauses</w:t>
      </w:r>
    </w:p>
    <w:p>
      <w:r>
        <w:t xml:space="preserve">(71) The BOLT contract is particularly detailed in this regard: [START CONFIDENTIAL EXCEPT FOR BOLT]  </w:t>
        <w:br/>
        <w:t>[END CONFIDENTIAL EXCEPT FOR BOLT].</w:t>
      </w:r>
    </w:p>
    <w:p>
      <w:r>
        <w:t xml:space="preserve">(72) The UBER contract incorporates the following provision: [START CONFIDENTIAL EXCEPT FOR UBER]  </w:t>
        <w:br/>
        <w:t xml:space="preserve">[END CONFIDENTIAL EXCEPT FOR UBER]. The CABIFY contract [START CONFIDENTIAL EXCEPT FOR CABIFY]  </w:t>
        <w:br/>
        <w:t>[END CONFIDENTIAL EXCEPT FOR CABIFY].</w:t>
      </w:r>
    </w:p>
    <w:p>
      <w:r>
        <w:t>6.3.6. Cost Assumption</w:t>
      </w:r>
    </w:p>
    <w:p>
      <w:r>
        <w:t xml:space="preserve">(73) By way of illustration, in the BOLT contract [START CONFIDENTIAL EXCEPT FOR BOLT]  </w:t>
        <w:br/>
        <w:t xml:space="preserve">54 Page 588.  </w:t>
        <w:br/>
        <w:t xml:space="preserve">55 Page 506.  </w:t>
        <w:br/>
        <w:t xml:space="preserve">56 Page 591.  </w:t>
        <w:br/>
        <w:t xml:space="preserve">57 Page 270.  </w:t>
        <w:br/>
        <w:t xml:space="preserve">National Commission on Markets and Competition 18 of 26  </w:t>
        <w:br/>
        <w:t xml:space="preserve">C/ Alcalá, 47 – 28014 Madrid - C/ Bolivia, 56 – 08018 Barcelona  </w:t>
        <w:br/>
        <w:t>www.cnmc.es</w:t>
      </w:r>
    </w:p>
    <w:p>
      <w:r>
        <w:rPr>
          <w:b/>
        </w:rPr>
        <w:t>[Pages 19–21]</w:t>
      </w:r>
    </w:p>
    <w:p>
      <w:r>
        <w:t xml:space="preserve">S/0005/20  </w:t>
        <w:br/>
        <w:t xml:space="preserve">UBER CABIFY BOLT  </w:t>
        <w:br/>
        <w:t xml:space="preserve">:  </w:t>
        <w:br/>
        <w:t>[END CONFIDENTIAL EXCEPT FOR BOLT]</w:t>
      </w:r>
    </w:p>
    <w:p>
      <w:r>
        <w:t xml:space="preserve">6.3.7. Exclusivity Clauses  </w:t>
        <w:br/>
        <w:t xml:space="preserve">(74) In the UBER contract, it is established that [START CONFIDENTIAL EXCEPT FOR UBER]  </w:t>
        <w:br/>
        <w:t>[END CONFIDENTIAL EXCEPT FOR UBER].</w:t>
      </w:r>
    </w:p>
    <w:p>
      <w:r>
        <w:t xml:space="preserve">7. LEGAL GROUNDS  </w:t>
        <w:br/>
        <w:t xml:space="preserve">7.1. Competence to Resolve  </w:t>
        <w:br/>
        <w:t xml:space="preserve">(75) According to Article 5.1.c) of Law 3/2013, of June 4, establishing the National Commission of Markets and Competition, this Agency is competent to "apply the provisions of Law 15/2007, of July 3, regarding behaviors that prevent, restrict, and distort competition." Article 20.2 of the same Law assigns the Council the function of "resolving the sanctioning procedures provided for in Law 15/2007, of July 3," and, according to Article 14.1.a) of Royal Decree 657/2013, of August 30, which approves the Organic Statute of the CNMC, "the Competition Chamber will hear matters related to the application of Law 15/2007, of July 3."  </w:t>
        <w:br/>
        <w:t>(76) Consequently, the competence to resolve this procedure corresponds to the Competition Chamber of the CNMC Council.</w:t>
      </w:r>
    </w:p>
    <w:p>
      <w:r>
        <w:t xml:space="preserve">7.2. Proposal of the Instructing Body  </w:t>
        <w:br/>
        <w:t>(77) The Competition Directorate proposes not to initiate the sanctioning procedure, as well as the filing of the present proceedings, considering that there are no indications of infringement of the LDC.</w:t>
      </w:r>
    </w:p>
    <w:p>
      <w:r>
        <w:t xml:space="preserve">S/0005/20  </w:t>
        <w:br/>
        <w:t xml:space="preserve">UBER CABIFY BOLT  </w:t>
        <w:br/>
        <w:t xml:space="preserve">7.3. Assessment of the Competition Chamber  </w:t>
        <w:br/>
        <w:t xml:space="preserve">7.3.1. Regarding the possible violation of Article 3 of the LDC  </w:t>
        <w:br/>
        <w:t>(78) The purpose of this section is to determine whether there are indications that UBER, CABIFY, and BOLT have incurred a violation of competition regulations by infringing Article 3 of the LDC; an article that prohibits acts of unfair competition that, by distorting free competition, affect the public interest.</w:t>
      </w:r>
    </w:p>
    <w:p>
      <w:r>
        <w:t xml:space="preserve">7.3.1.1. Unfairness of the conduct  </w:t>
        <w:br/>
        <w:t>(79) Next, it will be analyzed whether the behaviors constitute acts of unfair competition. For the purposes of the present reference proceedings, it would be appropriate to analyze Articles 4, 5, and 17 of Law 3/1991, of January 10, on Unfair Competition (LCD), which considers it unfair to take advantage in the market through acts contrary to the requirement of good faith, misleading acts, and through selling at a loss.</w:t>
      </w:r>
    </w:p>
    <w:p>
      <w:r>
        <w:t xml:space="preserve">7.3.1.1.1. Regarding the application of Article 4 of the LCD on the requirements of good faith  </w:t>
        <w:br/>
        <w:t xml:space="preserve">(80) As can be inferred from the information provided by the complainant and the rest of the information gathered by the Competition Directorate (see section 6.1), according to the contractual conditions of the platforms as stated on their websites, applications, and emails at the time of contracting, the platforms of the reported companies do not provide fixed prices, but rather mere price estimates for the trips, based on the combination of various factors specified in the contracting conditions.  </w:t>
        <w:br/>
        <w:t xml:space="preserve">(81) It is concluded that the information regarding the final price of the trip is clear, explaining that this price is subject to variations from the initial estimate, inferring the dynamic, flexible, and estimative condition of the proposed prices.  </w:t>
        <w:br/>
        <w:t>(82) Therefore, there are no indications of an illicit act by the platforms, in the sense that they are acting with a lack of professional diligence and are inducing consumers to deception in such a way that it constitutes unfair conduct under Article 4 of the LCD.</w:t>
      </w:r>
    </w:p>
    <w:p>
      <w:r>
        <w:t xml:space="preserve">7.3.1.1.2. Regarding the application of Article 5 of the LCD in relation to possible acts of deception  </w:t>
        <w:br/>
        <w:t xml:space="preserve">(83) As shown in section 6.1, the respective websites of the companies UBER, CABIFY, and BOLT establish that the determination of the price is estimative and that various variables determine the price of the trip in each circumstance. Therefore, the user is accurately informed of the estimative nature of the price without being misled.  </w:t>
        <w:br/>
        <w:t xml:space="preserve">(84) In this regard, although the complainant claims that the prices of the transport platforms are presented as cheaper than those of taxis, no evidence of such a claim by the platforms is provided, nor are there indications of such conduct.  </w:t>
        <w:br/>
        <w:t>(85) Therefore, there are no indications of unfair conduct based on Article 5 of the LCD.</w:t>
      </w:r>
    </w:p>
    <w:p>
      <w:r>
        <w:t xml:space="preserve">7.3.1.1.3. Regarding the application of Article 17 of the LCD in relation to possible selling at a loss  </w:t>
        <w:br/>
        <w:t xml:space="preserve">(86) In the present case, it is analyzed whether, as indicated in the complaint, there are indications that selling at a loss occurs through the application of considerable price reductions - discounts below the cost price of the service - by the reported platforms with the intention of eliminating the existing competition in the market.  </w:t>
        <w:br/>
        <w:t xml:space="preserve">(87) In contrast to the assertion made by the complainant, there are no indications that the dynamic pricing determination system constitutes an act of unfair competition concerning the taxi sector, which has fixed prices. The existence of a regulatory disparity that prevents taxis from offering a greater degree of flexibility in their prices has been criticized by this CNMC in its work to promote competition60, but from it, there do not necessarily arise indications that could constitute acts of unfair competition by the platforms managing applications.  </w:t>
        <w:br/>
        <w:t xml:space="preserve">(88) Additionally, and as the complainant himself argues, VTC platforms sometimes raise their prices as a way to respond to a dynamic demand situation when it exceeds supply. However, this price increase does not align with following a selling at a loss strategy, which precisely aims to expel the competitor from the market by offering prices below the cost of providing the service.  </w:t>
        <w:br/>
        <w:t>60 See PRO/CNMC/003/18, in which, in addition to recommending greater flexibility for taxis when setting their prices, it is noted that "although some autonomous laws and municipal ordinances have provided for a maximum pricing system for taxi service, it is true that at the same time the application of discounts is limited or prohibited, so that in fact the fare acts as a fixed price or even a focal price that facilitates coordination among operators. Ultimately, a pricing system of this type disincentivizes operators (taxis) from competing by offering different combinations of price and quality even in cases where the regulations allow it. Furthermore, it prevents the establishment of efficient market prices that serve to adjust supply and demand at different times."</w:t>
      </w:r>
    </w:p>
    <w:p>
      <w:r>
        <w:rPr>
          <w:b/>
        </w:rPr>
        <w:t>[Pages 22–24]</w:t>
      </w:r>
    </w:p>
    <w:p>
      <w:r>
        <w:t xml:space="preserve">S/0005/20  </w:t>
        <w:br/>
        <w:t xml:space="preserve">UBER CABIFY BOLT  </w:t>
        <w:br/>
        <w:t xml:space="preserve">in such a way that it becomes impossible for its competitors to remain in the market in the medium and long term with such a price level.  </w:t>
        <w:br/>
        <w:t xml:space="preserve">(89) Finally, no evidence has been provided by the complainant that the prices of the platforms are below the costs of providing the service. On the contrary, the prices shown in Table 1 demonstrate a wide variety of prices offered by each platform for each trip and moment, and also that at times the prices offered by the platforms are higher than the prices offered by taxis, which does not provide indications that any of the reported platforms are following a loss-leading sales strategy.  </w:t>
        <w:br/>
        <w:t xml:space="preserve">(90) Therefore, there are no indications of unfair conduct based on Article 17 of the LCD.  </w:t>
        <w:br/>
        <w:t xml:space="preserve">7.3.1.1.4. Conclusion  </w:t>
        <w:br/>
        <w:t xml:space="preserve">(91) For the aforementioned reasons, given that there are no indications of unfairness in the conduct of the platforms UBER, BOLT, and CABIFY, the existence of indications of non-compliance with Article 3 of the LDC must be ruled out, making it unnecessary to analyze the possible concurrence of the second requirement of Article 3 of the LDC, that is, whether as a consequence of the possible unfair act a distortion of free competition affecting the public interest could occur.  </w:t>
        <w:br/>
        <w:t xml:space="preserve">7.3.2. Regarding the possible violation of Article 1 of the LDC and Article 101 of the TFEU  </w:t>
        <w:br/>
        <w:t xml:space="preserve">(92) Articles 1 of the LDC and 101 of the TFEU prohibit any agreement, decision, or collective recommendation, or concerted or consciously parallel practice, that has as its object, produces, or may produce the effect of preventing, restricting, or distorting competition in all or part of the national market. Among them, the direct or indirect fixing of prices or other commercial or service conditions is prohibited.  </w:t>
        <w:br/>
        <w:t xml:space="preserve">(93) In this context, this section analyzes two independent issues:  </w:t>
        <w:br/>
        <w:t xml:space="preserve">• On the one hand, whether there may be indications that the platforms owning mobile applications (UBER, CABIFY, and BOLT) are acting in a concerted manner among themselves.  </w:t>
        <w:br/>
        <w:t xml:space="preserve">• On the other hand, whether there may be indications that these platforms are acting, each of them, as a common supplier with the respective VTC drivers using those applications, generating a “hub and spoke” cartel structure61, so that the drivers would have a price set by the application and would not compete with each other on prices when using the same application.  </w:t>
        <w:br/>
        <w:t xml:space="preserve">7.3.2.1. Regarding coordination between platforms  </w:t>
        <w:br/>
        <w:t xml:space="preserve">(94) First of all, it should be noted that the fact that the market is structured as an oligopoly (as stated by one of the complainants) is not, in itself, indicative of a violation of Article 1 of the LDC.  </w:t>
        <w:br/>
        <w:t xml:space="preserve">(95) The existence of similar behaviors among market operators is not, in itself, indicative of a violation if there is a reasonable explanation for such similar behavior, such as logical adaptation to the prior behavior of competitors or to the environment (economic, regulatory, etc.) in which their actions take place.  </w:t>
        <w:br/>
        <w:t xml:space="preserve">(96) In this regard, in the Resolution of May 28, 2020 (case S/0637/18 UBER/CABIFY/UNAUTO), the CNMC Council already indicated that the existence of similar pricing policies is not, in itself, indicative of a violation.  </w:t>
        <w:br/>
        <w:t xml:space="preserve">(97) Moreover, in this case, as seen in section 6.1, the reported companies have pricing determination systems that are different from each other, which does not suggest that there is a price collusion.  </w:t>
        <w:br/>
        <w:t xml:space="preserve">(98) Additionally, it should also be taken into account the possibility in some cases of charging a price lower than that determined by the platform, as detailed in paragraphs (57) and (59).  </w:t>
        <w:br/>
        <w:t xml:space="preserve">(99) The analysis of the prices provided by one of the complainants (see Table 1) does not provide indications that collusive price-fixing is occurring among the three reported platforms. Even when referring to the provision of the same service (the transfer from the same origin to the same destination, at the same time on the same day), the prices vary among the platforms. Furthermore, that same table provided by one of the complainants shows that there are also no indications of a collusive agreement among the three reported platforms to systematically apply higher prices.  </w:t>
        <w:br/>
        <w:t xml:space="preserve">(100) For all these reasons, it can be concluded that the described facts are insufficient to assess, even indicatively, a possible violation of Article 1 of the LDC in the form of coordination among the different platforms.  </w:t>
        <w:br/>
        <w:t xml:space="preserve">61 “Hub and spoke” collusions involve competitors coordinating through their vertical relationships, that is, through operators located upstream (suppliers) or downstream (distributors or customers). In these cases, the common supplier or distributor acts as an intermediary between the colluding operators.  </w:t>
        <w:br/>
        <w:t xml:space="preserve">7.3.2.2. Regarding the consideration of each platform as a hub &amp; spoke cartel  </w:t>
        <w:br/>
        <w:t xml:space="preserve">(101) From the reported facts, it follows that the pricing policy of the three reported platforms [paragraphs (50) to (62)] is based on the calculation of a price estimate for each service requested by end users, and that it is algorithmically set by each platform based on a series of characteristics and requirements of the service (distance and duration of the trip, service fee, supply and demand of services available at the time of the request, safety and sustainability, additional costs, vehicle category, etc.) that escape the individualized control of each driver connected to them, except for the possible application of occasional discounts.  </w:t>
        <w:br/>
        <w:t xml:space="preserve">(102) Therefore, it is now appropriate to analyze whether the aforementioned pricing system adopted by the VTC hiring platforms constitutes an ancillary restriction to the business model of these platforms (which in itself is not restrictive, as it is a new mobility service)62, within the framework of the possible application of Article 1 of the LDC and Article 101 of the TFEU to a potentially restrictive agreement.  </w:t>
        <w:br/>
        <w:t xml:space="preserve">(103) In this regard, it can be noted that in the absence of a pricing system automatically set by the platform, it would not be guaranteed that drivers and users could make their decisions (within a specific menu of available options) with the immediacy and convenience characteristic of the platforms' business model. For all these reasons, it can be deduced that the pricing system used by the platforms is a necessary condition for the functioning of their business model.  </w:t>
        <w:br/>
        <w:t xml:space="preserve">(104) Regarding whether the pricing system is a proportionate condition, it can be concluded that the main concepts that make up the pricing determination scheme are linked to the development of the service, are necessary for achieving this purpose, and in principle do not incorporate elements that are unrelated to the normal operation of the business. Therefore, a possible restriction generated by the pricing system would be proportionate to the very functioning of the platforms.  </w:t>
        <w:br/>
        <w:t xml:space="preserve">(105) For all these reasons, it is appropriate to conclude that the pricing system used by the platforms would constitute an ancillary restriction to the activity of the platforms.  </w:t>
        <w:br/>
        <w:t>62 The Commission Communication - Guidelines on the applicability of Article 101 of the Treaty on the Functioning of the European Union to horizontal cooperation agreements (2023/C 259/01), establishes that if the main agreement does not violate such provision, a restriction on the autonomy of the parties does not constitute a violation, provided that this restriction is objectively necessary to implement the agreement and is proportionate to it (paragraph 34). See also the judgment of the Court of First Instance of September 18, 2001, in case T-112/99 - M6 and Others v Commission (ECLI:EU:T:2001:215), paragraph 104, and the Judgment of the Court of Justice of September 11, 2014, Mastercard Inc, C-382/12 P, ECLI:EU:C:2014:2201.</w:t>
      </w:r>
    </w:p>
    <w:p>
      <w:r>
        <w:rPr>
          <w:b/>
        </w:rPr>
        <w:t>[Pages 25–26]</w:t>
      </w:r>
    </w:p>
    <w:p>
      <w:r>
        <w:t xml:space="preserve">S/0005/20  </w:t>
        <w:br/>
        <w:t xml:space="preserve">UBER CABIFY BOLT  </w:t>
        <w:br/>
        <w:t>platforms and, therefore, would not constitute an indication of a violation of Article 1 of the LDC or 101 of the TFEU.</w:t>
      </w:r>
    </w:p>
    <w:p>
      <w:r>
        <w:t xml:space="preserve">7.3.3. Regarding the possible violation of Article 2 of the LDC and 102 of the TFEU  </w:t>
        <w:br/>
        <w:t>(106) Neither Article 2 of the LDC nor Article 102 of the TFEU establishes a closed list of behaviors that may constitute an abuse of a dominant position, although they do contain respective lists that include some examples that do not exhaust their scope of application. Among them is the direct or indirect imposition of prices or other unfair commercial or service conditions.</w:t>
      </w:r>
    </w:p>
    <w:p>
      <w:r>
        <w:t>(107) From the facts described in the complaint and the available information, there are no indications that the referred behaviors constitute an abuse of a potential dominant position.</w:t>
      </w:r>
    </w:p>
    <w:p>
      <w:r>
        <w:t>(108) Regarding excessive abusive pricing, there are no indications that the prices applied by the platforms are excessive in light of the criteria required by the case law63.</w:t>
      </w:r>
    </w:p>
    <w:p>
      <w:r>
        <w:t>(109) Regarding the imposition of conditions to be met for the provision of services, there are no indications that they constitute an unjustified and disproportionate imposition by a potentially dominant operator on its business partners of unfavorable conditions64.</w:t>
      </w:r>
    </w:p>
    <w:p>
      <w:r>
        <w:t>(110) In this regard, reference should be made to the reasons previously stated for the pricing system used by the platforms (see section 7.3.2.2). The value proposition of the platforms consists of offering a choice system in which the consumer can evaluate a specific menu of available options at a close distance and time with the immediacy and convenience required for the efficient hiring of local transport services (usually in the necessarily limited space of a mobile device screen). For the above reasons, it cannot be ruled out that the pricing system used by the platforms is justified by, and proportionate to, the very nature of the business65.</w:t>
      </w:r>
    </w:p>
    <w:p>
      <w:r>
        <w:t>(111) Given that there are no indications that the reported conduct may be abusive, it is not necessary to rule on the dominant position of the reported companies to conclude that there are no indications that the referred behaviors constitute a violation of Article 2 of the LDC.</w:t>
      </w:r>
    </w:p>
    <w:p>
      <w:r>
        <w:t xml:space="preserve">8. AGREES  </w:t>
        <w:br/>
        <w:t xml:space="preserve">Sole. Not to initiate a sanctioning procedure, as well as to archive the proceedings followed in file S/0005/20 UBER CABIFY BOLT, as no indications of a violation of Law 15/2007, of July 3, on the Defense of Competition have been found.  </w:t>
        <w:br/>
        <w:t>This agreement shall be communicated to the Competition Directorate and to the reported parties and notified to the complainants, informing them that there is no administrative appeal against it, and that they may file a contentious-administrative appeal before the National Court within two months from the day following its notification.</w:t>
      </w:r>
    </w:p>
    <w:p>
      <w:r>
        <w:t xml:space="preserve">65 Judgment of the Court of Justice of the EU of December 21, 2023, Superleague, C-333/21, ECLI:EU:C:2023:1011, paragraphs 201-202, and the cited case law.  </w:t>
        <w:br/>
        <w:t xml:space="preserve">Comisión Nacional de los Mercados y la Competencia 26 de 26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