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https://www.cnmc.es/expedientes/s000523</w:t>
      </w:r>
    </w:p>
    <w:p>
      <w:r>
        <w:t>Pages translated : 15</w:t>
      </w:r>
    </w:p>
    <w:p/>
    <w:p>
      <w:r>
        <w:rPr>
          <w:b/>
        </w:rPr>
        <w:t>[Pages 1–3]</w:t>
      </w:r>
    </w:p>
    <w:p>
      <w:r>
        <w:t xml:space="preserve">S/0005/23  </w:t>
        <w:br/>
        <w:t xml:space="preserve">MEDIASET GOL  </w:t>
        <w:br/>
        <w:t xml:space="preserve">AGREEMENT OF NON-INITIATION AND ARCHIVING OF THE  </w:t>
        <w:br/>
        <w:t xml:space="preserve">PROCEEDINGS  </w:t>
        <w:br/>
        <w:t xml:space="preserve">S/0005/23  </w:t>
        <w:br/>
        <w:t xml:space="preserve">MEDIASET GOL  </w:t>
        <w:br/>
        <w:t xml:space="preserve">COUNCIL. COMPETITION CHAMBER  </w:t>
        <w:br/>
        <w:t xml:space="preserve">President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29, 2023  </w:t>
        <w:br/>
        <w:t xml:space="preserve">The Competition Chamber of the Council of the National Commission of Markets and Competition (CNMC) with the composition expressed, has issued the following resolution in the referenced procedure processed by the Competition Directorate for alleged anti-competitive practices contrary to Article 1 of Law 15/2007, of July 3, on the Defense of Competition (LDC).  </w:t>
        <w:br/>
        <w:t xml:space="preserve">National Commission of Markets and Competition  </w:t>
        <w:br/>
        <w:t xml:space="preserve">C/ Alcalá, 47 – 28014 Madrid - C/ Bolivia, 56 – 08018 Barcelona 1 of 15  </w:t>
        <w:br/>
        <w:t>www.cnmc.es</w:t>
      </w:r>
    </w:p>
    <w:p>
      <w:r>
        <w:t xml:space="preserve">S/0005/23  </w:t>
        <w:br/>
        <w:t xml:space="preserve">MEDIASET GOL  </w:t>
        <w:br/>
        <w:t xml:space="preserve">TABLE OF CONTENTS  </w:t>
        <w:br/>
        <w:t xml:space="preserve">1. FACTUAL BACKGROUND .................................................................... 3  </w:t>
        <w:br/>
        <w:t xml:space="preserve">2. THE PARTIES .............................................................................................. 4  </w:t>
        <w:br/>
        <w:t xml:space="preserve">2.1. MEDIASET ESPAÑA COMUNICACIÓN S.A. (MEDIASET) ............................ 4  </w:t>
        <w:br/>
        <w:t xml:space="preserve">2.2. MEDIAPRODUCCIÓN S.L.U. (MEDIAPRO) .................................................... 4  </w:t>
        <w:br/>
        <w:t xml:space="preserve">3. AFFECTED MARKET .............................................................................. 4  </w:t>
        <w:br/>
        <w:t xml:space="preserve">3.1. Principles for market definition ................................................................. 4  </w:t>
        <w:br/>
        <w:t xml:space="preserve">3.2. Application of the principles to this case .................................................. 5  </w:t>
        <w:br/>
        <w:t xml:space="preserve">3.3. Structure of the television advertising market ......................................... 6  </w:t>
        <w:br/>
        <w:t xml:space="preserve">4. INVESTIGATED FACTS .......................................................................... 6  </w:t>
        <w:br/>
        <w:t xml:space="preserve">4.1. The contracts between MEDIAPRO and PUBLIESPAÑA .......................... 6  </w:t>
        <w:br/>
        <w:t xml:space="preserve">4.2. Other documents and data collected by the CD ....................................... 7  </w:t>
        <w:br/>
        <w:t xml:space="preserve">4.3. Termination of the contract ......................................................................... 9  </w:t>
        <w:br/>
        <w:t xml:space="preserve">5. LEGAL BASIS ........................................................................................... 9  </w:t>
        <w:br/>
        <w:t xml:space="preserve">5.1. Jurisdiction to Resolve .............................................................................. 9  </w:t>
        <w:br/>
        <w:t xml:space="preserve">5.2. Proposal of the instructing body ................................................................. 9  </w:t>
        <w:br/>
        <w:t xml:space="preserve">5.3. Assessment of the Competition Chamber ............................................... 10  </w:t>
        <w:br/>
        <w:t xml:space="preserve">5.3.1. Principles on the application of Article 1 of the LDC ................... 11  </w:t>
        <w:br/>
        <w:t xml:space="preserve">5.3.2. Application of the principles to the case ......................................... 11  </w:t>
        <w:br/>
        <w:t xml:space="preserve">6. AGREEMENT ........................................................................................... 15  </w:t>
        <w:br/>
        <w:t xml:space="preserve">National Commission of Markets and Competition  </w:t>
        <w:br/>
        <w:t xml:space="preserve">C/ Alcalá, 47 – 28014 Madrid - C/ Bolivia, 56 – 08018 Barcelona 2 of 15  </w:t>
        <w:br/>
        <w:t>www.cnmc.es</w:t>
      </w:r>
    </w:p>
    <w:p>
      <w:r>
        <w:t xml:space="preserve">S/0005/23  </w:t>
        <w:br/>
        <w:t xml:space="preserve">MEDIASET GOL  </w:t>
        <w:br/>
        <w:t xml:space="preserve">1. FACTUAL BACKGROUND  </w:t>
        <w:br/>
        <w:t xml:space="preserve">(1) The Competition Directorate (hereinafter, CD) became aware, through the website of MEDIASET ESPAÑA COMUNICACIÓN, S.A. (hereinafter, MEDIASET), that this audiovisual operator had been marketing, since September 1, 2017, through its subsidiary PUBLIESPAÑA S.A.U. (hereinafter PUBLIESPAÑA), the advertising of the DTT channel "Gol", a channel owned by the audiovisual operator MEDIAPRODUCCIÓN S.L.U. (hereinafter MEDIAPRO).  </w:t>
        <w:br/>
        <w:t xml:space="preserve">(2) In view of the above, the CD agreed to initiate preliminary investigation proceedings, under reference DP/0226/17, in order to preliminarily determine the reality of the investigated facts and whether they indicated signs of anti-competitive practices contrary to Law 15/2007, of July 3, on the Defense of Competition (LDC) that could justify, if applicable, the initiation of a sanctioning file1.  </w:t>
        <w:br/>
        <w:t xml:space="preserve">(3) The CD made various requests for information to MEDIASET and MEDIAPRO (October, November, and December 2017, December 2021, March and December 2022, and January 2023) which were answered within the stipulated time2.  </w:t>
        <w:br/>
        <w:t xml:space="preserve">(4) On March 28, 2023, the CD agreed to continue the preliminary investigation proceedings under reference S/0005/23, to which the actions carried out in the preliminary proceedings DP/0226/173 were incorporated.  </w:t>
        <w:br/>
        <w:t xml:space="preserve">(5) On April 14, 2023, the CD agreed to incorporate a series of documents into the proceedings. These are tariff brochures for broadcasting advertising on Gol, on MEDIASET channels, and on ATRESMEDIA channels, brochures extracted from the websites of the latter two4.  </w:t>
        <w:br/>
        <w:t xml:space="preserve">(6) On April 19, 2023, the Competition Directorate, in application of the provisions of Article 49.3 of the LDC, issued a proposal for non-initiation of a sanctioning file and for archiving the proceedings, considering that the investigated facts did not show signs of infringement of the LDC.  </w:t>
        <w:br/>
        <w:t xml:space="preserve">(7) The Competition Chamber of the CNMC Council has deliberated and ruled on the matter in its meeting of November 29, 2023.  </w:t>
        <w:br/>
        <w:t xml:space="preserve">1 Page 2.  </w:t>
        <w:br/>
        <w:t xml:space="preserve">2 Pages 3-143, 159-227, 236-586, 595-655.  </w:t>
        <w:br/>
        <w:t xml:space="preserve">3 Page 1.  </w:t>
        <w:br/>
        <w:t xml:space="preserve">4 Pages 656-780.  </w:t>
        <w:br/>
        <w:t xml:space="preserve">National Commission of Markets and Competition  </w:t>
        <w:br/>
        <w:t xml:space="preserve">C/ Alcalá, 47 – 28014 Madrid - C/ Bolivia, 56 – 08018 Barcelona 3 of 15  </w:t>
        <w:br/>
        <w:t>www.cnmc.es</w:t>
      </w:r>
    </w:p>
    <w:p>
      <w:r>
        <w:rPr>
          <w:b/>
        </w:rPr>
        <w:t>[Pages 4–6]</w:t>
      </w:r>
    </w:p>
    <w:p>
      <w:r>
        <w:t xml:space="preserve">S/0005/23  </w:t>
        <w:br/>
        <w:t xml:space="preserve">MEDIASET GOL  </w:t>
        <w:br/>
        <w:t xml:space="preserve">2. THE PARTIES  </w:t>
        <w:br/>
        <w:t xml:space="preserve">2.1. MEDIASET ESPAÑA COMUNICACIÓN S.A. (MEDIASET)  </w:t>
        <w:br/>
        <w:t xml:space="preserve">(8) MEDIASET is the leading audiovisual operator in Spain in terms of television advertising revenue. This operator broadcasts 7 free-to-air DTT channels on a national level. MEDIASET manages the advertising on these channels through its wholly-owned subsidiary PUBLIESPAÑA. This subsidiary also managed, through a contract with MEDIAPRO, part of the advertising on the GOL channel of MEDIAPRO, from 2017 until July 2022.  </w:t>
        <w:br/>
        <w:t xml:space="preserve">2.2. MEDIAPRODUCCIÓN S.L.U. (MEDIAPRO)  </w:t>
        <w:br/>
        <w:t xml:space="preserve">(9) MEDIAPRO is a producer of audiovisual content, including the multi-sport themed channel Gol, a national channel that has been broadcast free-to-air via Digital Terrestrial Television (DTT) since June 1, 2016. Currently (2022-2023 season), among other content, the Gol channel offers one match of the Liga Santander each matchday.  </w:t>
        <w:br/>
        <w:t xml:space="preserve">3. AFFECTED MARKET  </w:t>
        <w:br/>
        <w:t xml:space="preserve">3.1. Principles for Market Definition  </w:t>
        <w:br/>
        <w:t xml:space="preserve">(10) The product market encompasses the set of products or services that, due to their characteristics, are particularly suitable for satisfying ongoing needs and are scarcely substitutable by other products or services5. In this analysis, it is not sufficient to limit oneself to examining the objective characteristics of the relevant products; it is also necessary to consider the competitive conditions and the structure of supply and demand in that market6.  </w:t>
        <w:br/>
        <w:t xml:space="preserve">(11) The substitutability of a product or service from the demand perspective is the most immediate and effective means of constraining the behavior of suppliers of a particular product, especially regarding their pricing decisions7.  </w:t>
        <w:br/>
        <w:t xml:space="preserve">(12) The substitutability of supply can also be taken into account when defining markets in cases where its effects are equivalent to those of demand substitutability in terms of effectiveness and immediate response. This requires that suppliers can switch to producing the reference products and marketing them in response to small permanent variations in relative prices, without requiring a significant period and considerable investments or additional significant risks8.  </w:t>
        <w:br/>
        <w:t xml:space="preserve">(13) The geographic market covers the territory that can be defined as the territory in which all economic operators are in similar or sufficiently homogeneous competitive conditions, specifically regarding the products or services in question9.  </w:t>
        <w:br/>
        <w:t xml:space="preserve">3.2. Application of Principles to This Case  </w:t>
        <w:br/>
        <w:t xml:space="preserve">(14) The investigated behaviors would take place in the television advertising market in Spain, a market that has already been defined and analyzed by the CNMC in, among others, the precedent S/DC/0600/16 MEDIASET10 or, more recently, the precedent S/DC/0617/17 ATRESMEDIA MEDIASET11.  </w:t>
        <w:br/>
        <w:t xml:space="preserve">(15) As indicated in those precedents, television advertising is a differentiated market from advertising in other media, due to the lack of sufficient substitutability from the demand side in terms of coverage, impact, speed, or marketing system.  </w:t>
        <w:br/>
        <w:t xml:space="preserve">7 Judgment of the CJEU of July 4, 2006, T-177/04, Easyjet (paragraph 99). See also the Commission Communication regarding the definition of the relevant market for the purposes of Community competition law (97/C 372/03), paragraphs 13 and 14.  </w:t>
        <w:br/>
        <w:t xml:space="preserve">8 Judgment of the CJEU of November 9, 1983, C-322/81, Michelin I (paragraph 31). See also the Commission Communication regarding the definition of the relevant market for the purposes of Community competition law (97/C 372/03), paragraph 20.  </w:t>
        <w:br/>
        <w:t xml:space="preserve">9 Judgment of the CJEU of February 14, 1978, C-27/76, United Brands (paragraphs 11, 44, and 53), Judgment of the CJEU of October 6, 1994, T-83/91, Tetra Pak International SA (paragraph 91), Judgment of the CJEU of October 21, 1997, T-229/94, Deutsche Bahn (paragraph 92), Judgment of the CJEU of December 17, 2003, T-219/99, British Airways (paragraph 108). See also the Commission Communication regarding the definition of the relevant market for the purposes of Community competition law (97/C 372/03), paragraph 8.  </w:t>
        <w:br/>
        <w:t xml:space="preserve">10 Resolution of April 11, 2017.  </w:t>
        <w:br/>
        <w:t xml:space="preserve">11 Resolution of November 12, 2019.  </w:t>
        <w:br/>
        <w:t xml:space="preserve">3.3. Structure of the Television Advertising Market  </w:t>
        <w:br/>
        <w:t xml:space="preserve">(16) Within the television advertising market, advertising on free-to-air television and pay television would be included, notwithstanding that the competitive pressure exerted by pay television operators on free-to-air television operators in the advertising field is limited, given that this activity does not constitute their main source of income, and therefore their weight in this market is reduced.  </w:t>
        <w:br/>
        <w:t xml:space="preserve">(17) The relevant geographic scope of this market is national, given the national coverage of the main providers in this market.  </w:t>
        <w:br/>
        <w:t xml:space="preserve">3.3. Structure of the Television Advertising Market  </w:t>
        <w:br/>
        <w:t xml:space="preserve">(18) The structure of the supply in the television advertising market can be measured in terms of the advertising revenues obtained by the various television operators.  </w:t>
        <w:br/>
        <w:t xml:space="preserve">(19) As shown in Table 1, the degree of concentration of the supply is high, with 83.6% of the advertising revenues of 2021 being captured by the MEDIASET and ATRESMEDIA groups. MEDIASET is the main operator, with a stable share in recent years of around 43%. The weight of Gol in this market - including both the advertising managed by MEDIAPRO and that managed by PUBLIESPAÑA - is very small: [CONFIDENTIAL]% in 2020.  </w:t>
        <w:br/>
        <w:t xml:space="preserve">Table 1: Advertising Investment in Television (Share in %)  </w:t>
        <w:br/>
        <w:t xml:space="preserve">Source: INFOADEX (except for GOL, with calculations based on data from MEDIASET and MEDIAPRO, folio 480)  </w:t>
        <w:br/>
        <w:t xml:space="preserve">[CONFIDENTIAL]  </w:t>
        <w:br/>
        <w:t xml:space="preserve">(20) In terms of GRPs12 of 20 seconds for the adult target, the weight of Gol is also very small, with a share of the national total of less than [CONFIDENTIAL]% in 2018, 2019, and 2020 respectively13.  </w:t>
        <w:br/>
        <w:t xml:space="preserve">4. INVESTIGATED FACTS  </w:t>
        <w:br/>
        <w:t xml:space="preserve">4.1. The Contracts Between MEDIAPRO and PUBLIESPAÑA  </w:t>
        <w:br/>
        <w:t xml:space="preserve">(21) On August 29, 2017, PUBLIESPAÑA and MEDIAPRO signed a one-year contract for the marketing of part of the advertising on the Gol channel by  </w:t>
        <w:br/>
        <w:t xml:space="preserve">12 Gross Rating Points. It is an impact indicator of an advertising campaign, in terms of audience reached. It is the indicator used in the television advertising sector.  </w:t>
        <w:br/>
        <w:t>13 Folio 480.</w:t>
      </w:r>
    </w:p>
    <w:p>
      <w:r>
        <w:rPr>
          <w:b/>
        </w:rPr>
        <w:t>[Pages 7–9]</w:t>
      </w:r>
    </w:p>
    <w:p>
      <w:r>
        <w:t xml:space="preserve">S/0005/23  </w:t>
        <w:br/>
        <w:t xml:space="preserve">MEDIASET GOL  </w:t>
        <w:br/>
        <w:t xml:space="preserve">part of PUBLIESPAÑA, in its capacity as agent and on behalf of MEDIAPRO14. On August 31, 2018, they signed a new contract with almost identical clauses, valid until June 30, 2021, later extended until August 31, 202215.  </w:t>
        <w:br/>
        <w:t xml:space="preserve">(22) The contract establishes that the commercial policy for the sale of advertising spaces on the Gol channel will be determined by [CONFIDENTIAL].  </w:t>
        <w:br/>
        <w:t xml:space="preserve">(23) For its part, PUBLIESPAÑA will be responsible for promoting and managing the marketing of advertising spaces on Gol, except for a series of "reserved" clients that will remain under the management of MEDIAPRO (listed in an annex). For the remaining clients [CONFIDENTIAL].  </w:t>
        <w:br/>
        <w:t xml:space="preserve">(24) The remuneration to PUBLIESPAÑA contemplated in the contract will essentially consist of [CONFIDENTIAL].  </w:t>
        <w:br/>
        <w:t xml:space="preserve">(25) Regarding the teams dedicated to the marketing of advertising on Gol, the contract provides for [CONFIDENTIAL].  </w:t>
        <w:br/>
        <w:t xml:space="preserve">4.2. Other documents and data collected by the CD  </w:t>
        <w:br/>
        <w:t xml:space="preserve">(26) Regarding the reserved clients, MEDIAPRO reports that the advertising derived from them (managed by MEDIAPRO itself) accounted for [CONFIDENTIAL]% of the total advertising revenue of the Gol channel in 2018, 2019, and 2020 respectively16. That is, the marketing activity retained entirely by MEDIAPRO is very significant.  </w:t>
        <w:br/>
        <w:t xml:space="preserve">(27) In relation to the determination of the commercial policy, both parties reiterate that [CONFIDENTIAL]. In this regard, the parties have provided the CD with the communications and documentation sent by MEDIAPRO to PUBLIESPAÑA specifying rates and other parameters of the commercial policy. These documents are [CONFIDENTIAL].  </w:t>
        <w:br/>
        <w:t xml:space="preserve">(28) The aforementioned documentation sent by MEDIAPRO to PUBLIESPAÑA does not explicitly include rates or pricing parameters for the GRP cost advertising sales modality. The GRP cost sale is the most used modality: it accounted for [CONFIDENTIAL]% of the advertising billed by MEDIAPRO for Gol in 2018, 2019, and 2020 respectively17.  </w:t>
        <w:br/>
        <w:t xml:space="preserve">14 Folios 18-36.  </w:t>
        <w:br/>
        <w:t xml:space="preserve">15 Folios 248-263 and 264-268.  </w:t>
        <w:br/>
        <w:t xml:space="preserve">16 Folio 610. The advertising data of reserved clients has been sent by MEDIAPRO in terms of sports seasons (for example, the 2018-2019 season). The CD has compared them to the initial calendar year data provided by MEDIASET (for example, 2018).  </w:t>
        <w:br/>
        <w:t xml:space="preserve">17 Folio 480.  </w:t>
        <w:br/>
        <w:t xml:space="preserve">Comisión Nacional de los Mercados y la Competencia  </w:t>
        <w:br/>
        <w:t xml:space="preserve">C/ Alcalá, 47 – 28014 Madrid - C/ Bolivia, 56 – 08018 Barcelona 7 of 15  </w:t>
        <w:br/>
        <w:t>www.cnmc.es</w:t>
      </w:r>
    </w:p>
    <w:p>
      <w:r>
        <w:t xml:space="preserve">S/0005/23  </w:t>
        <w:br/>
        <w:t xml:space="preserve">MEDIASET GOL  </w:t>
        <w:br/>
        <w:t xml:space="preserve">(29) On this matter, the precedents of the CNMC have already specified that in the GRP cost sale, a catalog with standard rates is not used, but rather an individual negotiation takes place with each agency or advertiser, resulting in a specific rate being agreed upon18. [CONFIDENTIAL].  </w:t>
        <w:br/>
        <w:t xml:space="preserve">(30) In this regard, the CD has observed that, like the rate catalogs of Gol, the rate catalogs of MEDIASET's own channels, as well as those of ATRESMEDIA, do not specify rates for GRP cost sales, due to the very nature of these rates (and do specify rates for discounted sales)19.  </w:t>
        <w:br/>
        <w:t xml:space="preserve">(31) In addition to the above, regarding the separation between the marketing of advertising on Gol and the marketing of advertising on MEDIASET's own channels, [CONFIDENTIAL].  </w:t>
        <w:br/>
        <w:t xml:space="preserve">(32) In this regard, the CD has observed on the PUBLIESPAÑA website that, during the term of the contract, there have been different rate catalogs for MEDIASET's own channels and for Gol (and with different rate structures)20.  </w:t>
        <w:br/>
        <w:t xml:space="preserve">(33) Finally, regarding the bundling of the Gol channel with MEDIASET's own channels, [CONFIDENTIAL]. In this regard, the CD has observed that the publicly available brochures do not offer bundling with MEDIASET's own channels21.  </w:t>
        <w:br/>
        <w:t xml:space="preserve">(34) [CONFIDENTIAL].  </w:t>
        <w:br/>
        <w:t xml:space="preserve">18 Resolution of the CNMC Council of November 12, 2019, S/DC/0617/17 ATRESMEDIA MEDIASET, pages 22 and 26.  </w:t>
        <w:br/>
        <w:t xml:space="preserve">19 Folios 657-690, 698-732 and 733-766 for examples of MEDIASET catalogs and 764-780 for an example of an ATRESMEDIA catalog.  </w:t>
        <w:br/>
        <w:t xml:space="preserve">Information collected by the CD on the websites https://www.publiesp.es/politica-comercial/ and https://www.atresmediapublicidad.com/ofertacomercial/ after receiving information from MEDIASET in January 2022.  </w:t>
        <w:br/>
        <w:t xml:space="preserve">20 Folios 657-690, 698-732 and 733-766 for examples of MEDIASET catalogs and folios 513-519 and 691-697 for examples of Gol catalogs. Except folios 513-519 (provided by MEDIAPRO).  </w:t>
        <w:br/>
        <w:t xml:space="preserve">Information collected by the CD on the website https://www.publiesp.es/politica-comercial/ after receiving information from MEDIASET in January 2022.  </w:t>
        <w:br/>
        <w:t xml:space="preserve">21 Folios 657-690, 698-732 and 733-766 for examples of MEDIASET catalogs and folios 513-519 and 691-697 for examples of Gol catalogs. Except folios 513-519 (provided by MEDIAPRO).  </w:t>
        <w:br/>
        <w:t xml:space="preserve">Information collected by the CD on the website https://www.publiesp.es/politica-comercial/ after receiving information from MEDIASET in January 2022.  </w:t>
        <w:br/>
        <w:t xml:space="preserve">Comisión Nacional de los Mercados y la Competencia  </w:t>
        <w:br/>
        <w:t xml:space="preserve">C/ Alcalá, 47 – 28014 Madrid - C/ Bolivia, 56 – 08018 Barcelona 8 of 15  </w:t>
        <w:br/>
        <w:t>www.cnmc.es</w:t>
      </w:r>
    </w:p>
    <w:p>
      <w:r>
        <w:t xml:space="preserve">S/0005/23  </w:t>
        <w:br/>
        <w:t xml:space="preserve">MEDIASET GOL  </w:t>
        <w:br/>
        <w:t xml:space="preserve">(35) Subsequently and until the termination of the contract, the Gol channel has only been marketed independently, without any bundling, as observed in the publicly available catalogs22.  </w:t>
        <w:br/>
        <w:t xml:space="preserve">4.3. Termination of the contract  </w:t>
        <w:br/>
        <w:t xml:space="preserve">(36) The contract with PUBLIESPAÑA was terminated early on July 31, 2022. MEDIAPRO has reported that since then, advertising on the Gol channel has been marketed by the company [CONFIDENTIAL], and has provided the signed contract for this purpose. This company is an independent marketer of television advertising spaces.  </w:t>
        <w:br/>
        <w:t xml:space="preserve">5. LEGAL BASIS  </w:t>
        <w:br/>
        <w:t xml:space="preserve">5.1. Jurisdiction to Resolve  </w:t>
        <w:br/>
        <w:t xml:space="preserve">(37) In accordance with article 5.1.c) of Law 3/2013, of June 4, on the creation of the National Commission of Markets and Competition, this Agency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 xml:space="preserve">(38) Consequently, the jurisdiction to resolve this procedure corresponds to the Competition Chamber of the CNMC Council.  </w:t>
        <w:br/>
        <w:t xml:space="preserve">5.2. Proposal of the instructing body  </w:t>
        <w:br/>
        <w:t xml:space="preserve">(39) The CD proposes not to initiate the sanctioning procedure, as well as to archive the present proceedings, considering that there are no indications of the investigated infringement.  </w:t>
        <w:br/>
        <w:t xml:space="preserve">(40) The CD reasons why the examined agreement does not infringe article 1 LDC, considering that it is not a restrictive agreement either by its object or by its effects.  </w:t>
        <w:br/>
        <w:t xml:space="preserve">22 Folios 657-690, 698-732 and 733-766 for examples of MEDIASET catalogs and folios 513-519 and 691-697 for examples of Gol catalogs. Except folios 513-519 (provided by MEDIAPRO).  </w:t>
        <w:br/>
        <w:t xml:space="preserve">Information collected by the CD on the website https://www.publiesp.es/politica-comercial/ after receiving information from MEDIASET in January 2022.  </w:t>
        <w:br/>
        <w:t xml:space="preserve">Comisión Nacional de los Mercados y la Competencia  </w:t>
        <w:br/>
        <w:t xml:space="preserve">C/ Alcalá, 47 – 28014 Madrid - C/ Bolivia, 56 – 08018 Barcelona 9 of 15  </w:t>
        <w:br/>
        <w:t>www.cnmc.es</w:t>
      </w:r>
    </w:p>
    <w:p>
      <w:r>
        <w:rPr>
          <w:b/>
        </w:rPr>
        <w:t>[Pages 10–12]</w:t>
      </w:r>
    </w:p>
    <w:p>
      <w:r>
        <w:t xml:space="preserve">S/0005/23  </w:t>
        <w:br/>
        <w:t xml:space="preserve">MEDIASET GOL  </w:t>
        <w:br/>
        <w:t xml:space="preserve">(41) Regarding the lack of restrictive character by object, the factors leading the CD to reach its conclusion are:  </w:t>
        <w:br/>
        <w:t xml:space="preserve">(i) the agreement allows MEDIAPRO to maintain autonomy in setting its commercial policy,  </w:t>
        <w:br/>
        <w:t xml:space="preserve">(ii) there is no bundling in the MEDIAPRO-MEDIASET relationship with MEDIASET's own channels, which allows for the separation of advertising sales on Gol from advertising sales on MEDIASET's own channels, preventing a mutual reinforcement of market positions, and  </w:t>
        <w:br/>
        <w:t xml:space="preserve">(iii) the content of the contract and the way it has been managed, from the perspective of teams and human resources, have also contributed to separating the marketing activity of advertising on the Gol channel from that of marketing advertising on MEDIASET's own channels.  </w:t>
        <w:br/>
        <w:t xml:space="preserve">(42) The CD also indicates that it is unlikely that the agreement is restrictive by its effects, since:  </w:t>
        <w:br/>
        <w:t xml:space="preserve">(i) the market power of Gol is marginal, so the competitive pressure that Gol could have exerted on MEDIASET during the term of the contract for capturing advertising revenues would have been very weak, and  </w:t>
        <w:br/>
        <w:t xml:space="preserve">(ii) the agreement does not have the capacity to allow MEDIASET to obtain information about rates and other strategic variables of the marketing of advertising on Gol.  </w:t>
        <w:br/>
        <w:t xml:space="preserve">5.3. Assessment of the Competition Chamber  </w:t>
        <w:br/>
        <w:t xml:space="preserve">(43) The purpose of this resolution is to determine whether, as the CD asserts, the proceedings should be archived, in accordance with article 49.3 of the LDC, as the investigated behaviors do not present indications of infringement of the LDC.  </w:t>
        <w:br/>
        <w:t xml:space="preserve">(44) Article 49.1 of the LDC provides that the CD shall initiate sanctioning proceedings when it observes reasonable indications of the existence of prohibited behaviors in articles 1, 2, and 3 of the same Law. In section 3 of the aforementioned article 49, it is added that the Council, at the proposal of the CD, shall agree not to initiate sanctioning proceedings and, consequently, to archive the actions taken, when it considers that there are no indications of infringement.  </w:t>
        <w:br/>
        <w:t xml:space="preserve">(45) Likewise, article 27.1 of the Competition Defense Regulation (RDC), approved by Royal Decree 261/2008, of February 22, establishes: “1. In order for the Council of the National Competition Commission [current CNMC] to agree not to initiate proceedings and to archive the actions in the terms established in articles 44 and 49.3 of Law 15/2007, of July 3, the Investigation Directorate [current Competition Directorate] shall forward the complaint received, the preliminary actions carried out, if applicable, and a proposal for archiving.”  </w:t>
        <w:br/>
        <w:t xml:space="preserve">5.3.1. Principles on the application of article 1 of the LDC  </w:t>
        <w:br/>
        <w:t xml:space="preserve">(46) Article 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(47) Restrictions by object are those that, by their very nature, can be considered harmful to the proper functioning of the normal play of competition. From the jurisprudence of the Court of Justice, it follows that the concept of “restriction by object” must be interpreted restrictively and can only be applied to certain collusive practices among companies23 that reveal (by themselves and taking into account the content of their provisions, the objectives they aim to achieve, and the economic and legal context in which they are inscribed) a degree of harm to competition sufficient to consider the examination of their effects unnecessary24.  </w:t>
        <w:br/>
        <w:t xml:space="preserve">(48) If it is not proven that it is a restriction by object, it will be necessary to determine whether the agreement, in fact, produces or has the capacity to produce the effect of restricting competition.  </w:t>
        <w:br/>
        <w:t xml:space="preserve">5.3.2. Application of the principles to the case  </w:t>
        <w:br/>
        <w:t xml:space="preserve">(49) The contract between PUBLIESPAÑA and MEDIAPRO for the marketing of advertising on the Gol channel is an agreement between competitors, as PUBLIESPAÑA is a controlled subsidiary of MEDIASET, whose channels compete with Gol for advertisers in the television advertising market in Spain.  </w:t>
        <w:br/>
        <w:t xml:space="preserve">(50) A very similar scenario was already analyzed in the aforementioned precedent S/DC/0600/16: 13 TELEVISIÓN S.A. and TURNER BROADCASTING SYSTEM EUROPE LTD commissioned PUBLIESPAÑA to market the advertising of their respective channels 13TV and TNT. The Council of the CNMC resolved to archive the proceedings. In the case of TNT, the Council highlighted that it was a channel with limited audience and pay, therefore not having a commercial strategy based on advertising revenues (0.5% share in the advertising revenue market), so it did not compete with MEDIASET's own channels. In the case of 13 TV, more relevant for the purposes of this agreement, the Council argued that i) the clauses of the contract minimized the possibility of restrictive effects (highlighting two clauses: the determination of the commercial policy fell on 13 TELEVISIÓN S.A. and there was no joint marketing of advertising with MEDIASET's own channels) and ii) the limited weight of 13 TV in the advertising market limited the competitive pressure that this channel exerted on MEDIASET's own channels. Additionally, the contract had a limited duration (of less than 1 year).  </w:t>
        <w:br/>
        <w:t xml:space="preserve">(51) To determine the existence (or absence) of indications that the contract between MEDIAPRO and PUBLIESPAÑA in question constitutes a restriction by object or effect, the factors considered by the Council in the aforementioned reference will be analyzed.  </w:t>
        <w:br/>
        <w:t xml:space="preserve">(52) The analyzed contract expressly states that the commercial policy will be determined [CONFIDENTIAL]. All of this means that the contract preserves MEDIAPRO's independence in making the most strategic decisions.  </w:t>
        <w:br/>
        <w:t xml:space="preserve">(53) The communications sent by MEDIAPRO to PUBLIESPAÑA, collected during the investigation, would confirm compliance with the aforementioned contractual provision, taking into account the particularities and explanations provided by the parties in the specific case of the GRP cost rates. These particularities refer to the individualized rate nature of this sales modality (without using predetermined rates), which is also observed in the catalogs for MEDIASET's own channels and ATRESMEDIA. [CONFIDENTIAL].  </w:t>
        <w:br/>
        <w:t xml:space="preserve">(54) In this regard, this Chamber considers that the fact that MEDIAPRO continues to manage a significant proportion of the advertising on GOL allows it to know the market and, therefore, to have the capacity to maintain an autonomous commercial policy. Ultimately, this would enable it to determine the commercial strategy also in the advertising managed by PUBLIESPAÑA [CONFIDENTIAL].  </w:t>
        <w:br/>
        <w:t xml:space="preserve">(55) Secondly, there is also no bundling in the MEDIAPRO-MEDIASET relationship with MEDIASET's own channels, as observed in the rate catalogs. The lack of bundling allows for the separation of advertising sales on Gol from advertising sales on MEDIASET's own channels, preventing a mutual reinforcement of market positions.  </w:t>
        <w:br/>
        <w:t xml:space="preserve">(56) [CONFIDENTIAL].  </w:t>
        <w:br/>
        <w:t>(57) Thirdly, the content of the contract and the way it has been managed, from the perspective of teams and human resources, have also</w:t>
      </w:r>
    </w:p>
    <w:p>
      <w:r>
        <w:rPr>
          <w:b/>
        </w:rPr>
        <w:t>[Pages 13–15]</w:t>
      </w:r>
    </w:p>
    <w:p>
      <w:r>
        <w:t xml:space="preserve">S/0005/23  </w:t>
        <w:br/>
        <w:t xml:space="preserve">MEDIASET GOL  </w:t>
        <w:br/>
        <w:t xml:space="preserve">(57) Thirdly, the content of the contract and the way it has been managed, from the perspective of teams and human resources, have also contributed to separating the activity of marketing advertising on the Gol channel from that of marketing advertising on MEDIASET's own channels, noting in this regard that there have been different pricing catalogs for Gol and for those own channels. This separation would also limit any possible alignment of the commercial policy.  </w:t>
        <w:br/>
        <w:t xml:space="preserve">(58) In conclusion, taking into account the content of the contract (regarding the allocation of responsibilities for determining the commercial policy and the separation from the marketing of advertising on MEDIASET's own channels) and the context in which it is situated, described in the previous paragraphs, this Chamber considers that this contract, by its very nature, does not align the behavior of the two operators and does not appreciably reinforce MEDIASET's market power. Therefore, this Chamber considers that there are no indications that the contract constitutes a restriction on competition by its object with the degree of certainty required in the sanctioning field.  </w:t>
        <w:br/>
        <w:t xml:space="preserve">(59) Regarding the possibility that the agreement is restrictive by its effects, it should be emphasized that any possible impact of the agreement will be limited by the market power of both parties. In this sense, the European Commission's guidelines on the applicability of Article 101 of the Treaty on the Functioning of the European Union (which is very similar in content to Article 1 of the LDC) to horizontal cooperation agreements consider that an anti-competitive effect is unlikely if one party's market share is insignificant: "If there are only two parties and one has only an insignificant market share and does not possess significant resources, normally even a high joint market share cannot be considered as an indication of a probable restrictive effect on competition in the market."25  </w:t>
        <w:br/>
        <w:t xml:space="preserve">(60) This is the scenario that takes place in the present case, where MEDIASET's market power is very high, but Gol's market power is marginal (share of [CONFIDENTIAL]% in 2020), both in relation to the overall market and in relation to MEDIASET's power. Furthermore, Gol's share in the advertising market has not grown in the last three analyzed years, according to the available data.  </w:t>
        <w:br/>
        <w:t xml:space="preserve">(61) In reality, the importance of this contract in the advertising market is even lower than indicated by Gol's share, as it should be taken into account that the contract does not affect a very significant fraction of the advertising on this channel ([CONFIDENTIAL]% in 2020), derived from reserved clients, which remains in the hands of MEDIAPRO. Gol's share once these reserved clients are excluded would more accurately indicate the importance of the contract in the market. This share was, in 2020, [CONFIDENTIAL]% of the total market.  </w:t>
        <w:br/>
        <w:t xml:space="preserve">(62) For all the above reasons, the competitive pressure that during the term of the Gol contract could have been exerted on MEDIASET for the capture of advertising revenues would have been very weak, so that any possible impact of the agreement would necessarily have been limited.  </w:t>
        <w:br/>
        <w:t xml:space="preserve">(63) On the other hand, the aforementioned guidelines of the European Commission also highlight that marketing agreements involve a certain degree of exchange of strategic information and that it is necessary to verify whether this exchange can lead to a collusive outcome26.  </w:t>
        <w:br/>
        <w:t xml:space="preserve">(64) In this sense, through this contract MEDIASET could be obtaining information about the rates and other strategic variables of the marketing of advertising on Gol. Discounted selling rates are public information and accessible to all competitors, but GRP cost selling rates are not public.  </w:t>
        <w:br/>
        <w:t xml:space="preserve">(65) However, this Chamber considers that the contractual clauses and practices related to the commercial teams dedicated to Gol and those dedicated to MEDIASET, as mentioned above, would minimize this potential problem.  </w:t>
        <w:br/>
        <w:t xml:space="preserve">(66) Finally, it should be noted that the contract in question was terminated in July 2022 and that since then MEDIAPRO has been marketing the advertising of the Gol channel through the company [CONFIDENTIAL], a company that is not controlled by any television operator and therefore is not a competitor of MEDIAPRO.  </w:t>
        <w:br/>
        <w:t xml:space="preserve">(67) In conclusion, this Chamber estimates that, with the available information, there are also no indications that the analyzed contract may have had appreciable effects on competition in the television advertising market.  </w:t>
        <w:br/>
        <w:t xml:space="preserve">(68) This conclusion is aligned with the resolution of the Council in the aforementioned precedent S/DC/0600/16 MEDIASET, having this Chamber noted that very similar circumstances exist in terms of the content of the contract, context, and market position of the parties.  </w:t>
        <w:br/>
        <w:t xml:space="preserve">(69) In light of the above, this Chamber concludes that the conduct subject to the investigation cannot be considered a violation of Article 1 of the LDC.  </w:t>
        <w:br/>
        <w:t xml:space="preserve">26 Paragraphs 233, 244, and 245 of the aforementioned Guidelines.  </w:t>
        <w:br/>
        <w:t xml:space="preserve">S/0005/23  </w:t>
        <w:br/>
        <w:t xml:space="preserve">MEDIASET GOL  </w:t>
        <w:br/>
        <w:t xml:space="preserve">6. AGREEMENT  </w:t>
        <w:br/>
        <w:t xml:space="preserve">Sole. Not to initiate sanctioning proceedings and to archive the actions carried out in the context of the reserved information S/0005/23 for possible conduct contrary to Article 1 of Law 15/2007, of July 3, on the Defense of Competition (LDC) as no indications of infringement are perceived at this time.  </w:t>
        <w:br/>
        <w:t xml:space="preserve">Communicate this resolution to the Competition Directorate and notify the interested parties, informing them that there is no appeal against it in the administrative route, and that they may file a contentious-administrative appeal before the National Court within two months from the day following its notification.  </w:t>
        <w:br/>
        <w:t xml:space="preserve">Comisión Nacional de los Mercados y la Competencia  </w:t>
        <w:br/>
        <w:t>C/ Alcalá, 47 – 28014 Madrid - C/ Bolivia, 56 – 08018 Barcelona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