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https://www.cnmc.es/expedientes/s000625</w:t>
      </w:r>
    </w:p>
    <w:p>
      <w:r>
        <w:t>Pages translated : 19</w:t>
      </w:r>
    </w:p>
    <w:p/>
    <w:p>
      <w:r>
        <w:rPr>
          <w:b/>
        </w:rPr>
        <w:t>[Pages 1–3]</w:t>
      </w:r>
    </w:p>
    <w:p>
      <w:r>
        <w:t>S/0006/25 BP/CEPSA/REPSOL</w:t>
      </w:r>
    </w:p>
    <w:p>
      <w:r>
        <w:t>AGREEMENT OF NON-INITIATION AND FILING OF THE PROCEEDINGS</w:t>
      </w:r>
    </w:p>
    <w:p>
      <w:r>
        <w:t>BP/CEPSA/REPSOL S/0006/25</w:t>
      </w:r>
    </w:p>
    <w:p>
      <w:r>
        <w:t>COUNCIL. COMPETITION CHAMBER</w:t>
      </w:r>
    </w:p>
    <w:p>
      <w:r>
        <w:t xml:space="preserve">Chairwoman  </w:t>
        <w:br/>
        <w:t>Ms. Cani Fernández Vicién</w:t>
      </w:r>
    </w:p>
    <w:p>
      <w:r>
        <w:t xml:space="preserve">Councillors  </w:t>
        <w:br/>
        <w:t xml:space="preserve">Mr. Rafael Iturriaga Nieva  </w:t>
        <w:br/>
        <w:t xml:space="preserve">Mr. Pere Soler Campins  </w:t>
        <w:br/>
        <w:t>Ms. María Vidales Picazo</w:t>
      </w:r>
    </w:p>
    <w:p>
      <w:r>
        <w:t xml:space="preserve">Secretary of the Council  </w:t>
        <w:br/>
        <w:t>Mr. Miguel Bordiu García-Ovies</w:t>
      </w:r>
    </w:p>
    <w:p>
      <w:r>
        <w:t>In Madrid, on April 8, 2026</w:t>
      </w:r>
    </w:p>
    <w:p>
      <w:r>
        <w:t>The Competition Chamber of the Council of the National Commission on Markets and Competition, with the composition expressed, has issued the following agreement in the reference file processed by the Competition Directorate for alleged anti-competitive practices contrary to Articles 1 and 2 of Law 15/2007, of July 3, on the Defense of Competition.</w:t>
      </w:r>
    </w:p>
    <w:p>
      <w:r>
        <w:t xml:space="preserve">National Commission on Markets and Competition 1 of 20  </w:t>
        <w:br/>
        <w:t xml:space="preserve">C/ Alcalá, 47 – 28014 Madrid - C/ Bolivia, 56 – 08018 Barcelona  </w:t>
        <w:br/>
        <w:t>www.cnmc.es</w:t>
      </w:r>
    </w:p>
    <w:p>
      <w:r>
        <w:t>S/0006/25 BP/CEPSA/REPSOL</w:t>
      </w:r>
    </w:p>
    <w:p>
      <w:r>
        <w:t>TABLE OF CONTENTS</w:t>
      </w:r>
    </w:p>
    <w:p>
      <w:r>
        <w:t xml:space="preserve">1. BACKGROUND ........................................................................................ 3  </w:t>
        <w:br/>
        <w:t xml:space="preserve">2. THE PARTIES .......................................................................................... 4  </w:t>
        <w:br/>
        <w:t xml:space="preserve">2.1. Accused .................................................................................................... 4  </w:t>
        <w:br/>
        <w:t xml:space="preserve">2.1.1. REPSOL GROUP .......................................................................................... 4  </w:t>
        <w:br/>
        <w:t xml:space="preserve">2.1.2. CEPSA GROUP ............................................................................................. 4  </w:t>
        <w:br/>
        <w:t xml:space="preserve">2.1.3. BP GROUP .................................................................................................... 5  </w:t>
        <w:br/>
        <w:t xml:space="preserve">2.2. Complainants .......................................................................................... 5  </w:t>
        <w:br/>
        <w:t xml:space="preserve">2.2.1. NATIONAL ASSOCIATION OF AUTOMATIC SERVICE STATIONS ................................................................................................................. 5  </w:t>
        <w:br/>
        <w:t xml:space="preserve">2.2.2. ASSOCIATION OF INDEPENDENT HYDROCARBON MARKETERS AND OTHER ENERGIES ................................................................................. 5  </w:t>
        <w:br/>
        <w:t xml:space="preserve">3. MARKET AFFECTED BY THE REPORTED PRACTICES .................... 6  </w:t>
        <w:br/>
        <w:t xml:space="preserve">3.1. REGULATORY FRAMEWORK ................................................................ 6  </w:t>
        <w:br/>
        <w:t xml:space="preserve">3.1.1. Hydrocarbons sector law .............................................................................. 6  </w:t>
        <w:br/>
        <w:t xml:space="preserve">3.1.2. Royal Decree-Law 6/2022, of March 29 ...................................................... 6  </w:t>
        <w:br/>
        <w:t xml:space="preserve">3.2. PRODUCT MARKETS ............................................................................. 7  </w:t>
        <w:br/>
        <w:t xml:space="preserve">3.2.1. WHOLESALE DISTRIBUTION MARKETS FOR MOTOR FUELS .................................................................................................................. 7  </w:t>
        <w:br/>
        <w:t xml:space="preserve">3.2.2. RETAIL DISTRIBUTION MARKET FOR MOTOR FUELS ................................................. 8  </w:t>
        <w:br/>
        <w:t xml:space="preserve">3.3. GEOGRAPHICAL MARKETS .................................................................. 9  </w:t>
        <w:br/>
        <w:t xml:space="preserve">3.3.1. Wholesale distribution markets for motor fuels ............................................. 9  </w:t>
        <w:br/>
        <w:t xml:space="preserve">3.3.2. Retail distribution market for motor fuels .................................................. 10  </w:t>
        <w:br/>
        <w:t xml:space="preserve">4. OBJECT OF THE COMPLAINT ................................................................ 10  </w:t>
        <w:br/>
        <w:t xml:space="preserve">5. LEGAL GROUNDS .................................................................................. 11  </w:t>
        <w:br/>
        <w:t xml:space="preserve">5.1. Competence to resolve ........................................................................... 11  </w:t>
        <w:br/>
        <w:t xml:space="preserve">5.2. Object of the agreement and proposal of the instructing body ............ 12  </w:t>
        <w:br/>
        <w:t xml:space="preserve">5.3. Assessment of the Competition Chamber .............................................. 12  </w:t>
        <w:br/>
        <w:t xml:space="preserve">5.3.1. Regarding the alleged collusive conduct .................................................. 12  </w:t>
        <w:br/>
        <w:t xml:space="preserve">5.3.2. Regarding the alleged abuse of dominant position .................................. 14  </w:t>
        <w:br/>
        <w:t>6. AGREES .................................................................................................. 20</w:t>
      </w:r>
    </w:p>
    <w:p>
      <w:r>
        <w:t xml:space="preserve">National Commission on Markets and Competition 2 of 20  </w:t>
        <w:br/>
        <w:t xml:space="preserve">C/ Alcalá, 47 – 28014 Madrid - C/ Bolivia, 56 – 08018 Barcelona  </w:t>
        <w:br/>
        <w:t>www.cnmc.es</w:t>
      </w:r>
    </w:p>
    <w:p>
      <w:r>
        <w:t>S/0006/25 BP/CEPSA/REPSOL</w:t>
      </w:r>
    </w:p>
    <w:p>
      <w:r>
        <w:t>1. BACKGROUND</w:t>
      </w:r>
    </w:p>
    <w:p>
      <w:r>
        <w:t>(1) On March 21, 2022, a complaint was received by the Competition Directorate of the National Commission on Markets and Competition (CNMC) filed by the National Association of Automatic Service Stations (AESAE) against REPSOL, S.A. and those companies that were monitoring its actions. According to the complaint, the facts would constitute a violation of Articles 1 and 2 of Law 15/2007, of July 3, on the Defense of Competition (LDC).</w:t>
      </w:r>
    </w:p>
    <w:p>
      <w:r>
        <w:t>(2) On April 28, 2022, the Competition Directorate agreed to initiate a confidential investigation under reference DP/058/22, subsequently forwarding some actions carried out within the scope of the aforementioned preliminary proceedings to file S/0006/25.</w:t>
      </w:r>
    </w:p>
    <w:p>
      <w:r>
        <w:t>(3) On July 28, 2022, the Association of Independent Hydrocarbon Marketers and Other Energies (ACIH) filed another complaint against REPSOL COMERCIAL DE PRODUCTOS PETROLÍFEROS, S.A., SOLRED, S.A. and REPSOL, S.A. (REPSOL GROUP); CEPSA COMERCIAL PETROLEO, S.A., CEPSA CARD, S.A., COMPAÑÍA ESPAÑOLA DE PETRÓLEOS, S.A. (CEPSA GROUP); and BP OIL ESPAÑA, S.A. and BP ESPAÑA, S.A. (BP GROUP). According to this complaint, the reported facts would violate Article 2 of the LDC and Article 102 of the Treaty on the Functioning of the European Union (TFEU), consisting of practices that constitute an abuse of collective dominant position by the aforementioned operators, who would have aligned to increase wholesale selling prices and reduce retail selling prices through the application of discounts associated with the use of their respective loyalty and payment cards.</w:t>
      </w:r>
    </w:p>
    <w:p>
      <w:r>
        <w:t>(4) On February 11, 2026, the Competition Directorate, in application of the provisions of Articles 44 and 49.3 of the LDC, issued and submitted to this Council a proposal for non-initiation of sanctioning proceedings and filing of the actions, considering that the reported facts did not show indications of a violation of the LDC.</w:t>
      </w:r>
    </w:p>
    <w:p>
      <w:r>
        <w:t>(5) The Competition Chamber of the CNMC Council has deliberated and ruled on the matter in its meeting of April 8, 2026.</w:t>
      </w:r>
    </w:p>
    <w:p>
      <w:r>
        <w:t xml:space="preserve">National Commission on Markets and Competition 3 of 20  </w:t>
        <w:br/>
        <w:t xml:space="preserve">C/ Alcalá, 47 – 28014 Madrid - C/ Bolivia, 56 – 08018 Barcelona  </w:t>
        <w:br/>
        <w:t>www.cnmc.es</w:t>
      </w:r>
    </w:p>
    <w:p>
      <w:r>
        <w:rPr>
          <w:b/>
        </w:rPr>
        <w:t>[Pages 4–6]</w:t>
      </w:r>
    </w:p>
    <w:p>
      <w:r>
        <w:t>S/0006/25 BP/CEPSA/REPSOL</w:t>
      </w:r>
    </w:p>
    <w:p>
      <w:r>
        <w:t>2. THE PARTIES</w:t>
      </w:r>
    </w:p>
    <w:p>
      <w:r>
        <w:t>2.1. Accused</w:t>
      </w:r>
    </w:p>
    <w:p>
      <w:r>
        <w:t>2.1.1. REPSOL GROUP</w:t>
      </w:r>
    </w:p>
    <w:p>
      <w:r>
        <w:t>(6) REPSOL, S.A. (REPSOL) is the parent company of a vertically integrated energy group, present in all phases of the oil value chain and its derived products. According to the list of wholesale operators of petroleum products published by the CNMC, in the case of the REPSOL group, these operators are REPSOL PETRÓLEO, S.A. for sales in the so-called first sale market and REPSOL SOLUCIONES ENERGÉTICAS, S.L. (formerly REPSOL COMERCIAL DE PRODUCTOS PETROLÍFEROS, S.A.) for sales made in the intermediate wholesale market. REPSOL GROUP owns 5 refineries in Spain (57.1% of the national refining capacity) and, according to information published by the Spanish Association of Petroleum Product Operators (AOP), in 2022 it had a network of 3,304 service stations (EESS), currently having more than 3,500.</w:t>
      </w:r>
    </w:p>
    <w:p>
      <w:r>
        <w:t>2.1.2. CEPSA GROUP</w:t>
      </w:r>
    </w:p>
    <w:p>
      <w:r>
        <w:t>(7) CEPSA GROUP (MOEVE since October 2024) is the parent company of an integrated energy group, present in all phases of the oil value chain, just like REPSOL. It owns 3 refineries in Spain (36.1% of the national refining capacity) and, according to information published by AOP, in 2022 it had a network of 1,484 EESS in Spain, counting at the end of 2023 with more than 1,700.</w:t>
      </w:r>
    </w:p>
    <w:p>
      <w:r>
        <w:t>2.1.3. BP GROUP</w:t>
      </w:r>
    </w:p>
    <w:p>
      <w:r>
        <w:t>(8) BP ESPAÑA, S.A.U. (BP) is a multinational integrated oil company of British origin and the parent company of the BP group subsidiaries operating in Spain. Its subsidiary BP ENERGÍA ESPAÑA, S.A.U. is 100% owned by BP, which in turn has as its majority shareholder (100%) the British company BP GLOBAL INVESTMENTS LIMITED. BP has a refinery in Castellón (6.8% of the national refining capacity) and in 2022 had a network of 787 EESS, according to AOP.</w:t>
      </w:r>
    </w:p>
    <w:p>
      <w:r>
        <w:t>2.2. Complainants</w:t>
      </w:r>
    </w:p>
    <w:p>
      <w:r>
        <w:t>2.2.1. NATIONAL ASSOCIATION OF AUTOMATIC SERVICE STATIONS (AESAE)</w:t>
      </w:r>
    </w:p>
    <w:p>
      <w:r>
        <w:t>(9) The NATIONAL ASSOCIATION OF AUTOMATIC SERVICE STATIONS (AESAE) based in Madrid, was established in 2015 and, according to information published on its website, its member companies represent 50% of the automatic (and independent) EESS in Spain. Among its members are the companies BALLENOIL, PETROPRIX, NAFTE, and GASEXPRES.</w:t>
      </w:r>
    </w:p>
    <w:p>
      <w:r>
        <w:t>2.2.2. ASSOCIATION OF INDEPENDENT HYDROCARBON MARKETERS AND OTHER ENERGIES (ACIH)</w:t>
      </w:r>
    </w:p>
    <w:p>
      <w:r>
        <w:t>(10) The ASSOCIATION OF INDEPENDENT HYDROCARBON MARKETERS AND OTHER ENERGIES (ACIH) aims to represent, defend, manage, and promote its members, the majority of whom are issuers of loyalty and payment cards, which are accepted at their own or third-party EESS where they place the product under a hospitality regime to subsequently sell it to the holders of their cards (customers).</w:t>
      </w:r>
    </w:p>
    <w:p>
      <w:r>
        <w:t>3. MARKET AFFECTED BY THE REPORTED PRACTICES</w:t>
      </w:r>
    </w:p>
    <w:p>
      <w:r>
        <w:t>3.1. REGULATORY FRAMEWORK</w:t>
      </w:r>
    </w:p>
    <w:p>
      <w:r>
        <w:t>3.1.1. Hydrocarbons Sector Law</w:t>
      </w:r>
    </w:p>
    <w:p>
      <w:r>
        <w:t>(11) Article 37 of Law 34/1998, of October 7, on the hydrocarbons sector (hereinafter, LSH) establishes that the activities of crude oil refining, as well as the transportation, storage, distribution, and sale of petroleum-derived products, may be carried out freely under the terms provided in said law, with the prices of petroleum-derived products being free, by virtue of Article 38 of the LSH.</w:t>
      </w:r>
    </w:p>
    <w:p>
      <w:r>
        <w:t>3.1.2. Royal Decree-Law 6/2022, of March 29</w:t>
      </w:r>
    </w:p>
    <w:p>
      <w:r>
        <w:t>(12) Given the extraordinary increase in the cost of fuels as a consequence of the war in Ukraine, Royal Decree-Law 6/2022, of March 29, which adopts urgent measures within the framework of the National Plan to respond to the economic and social consequences of the war in Ukraine (hereinafter, RD-law 6/2022) approved an extraordinary and temporary discount on the retail price of certain energy products and additives, such as gasoline G-95 and G-98, regular automotive diesel or "diesel A" (GOA) and improved automotive diesel or "diesel A+" (GOA+), as well as diesel B (GOB), among others.</w:t>
      </w:r>
    </w:p>
    <w:p>
      <w:r>
        <w:t>(13) According to said RD-law 6/2022, certain wholesale operators of petroleum products had to pay a public non-tax financial contribution on a quarterly basis, during the period from April 1 to December 31, 2022, both inclusive. Operators who committed to unequivocally apply a discount on sales to final consumers of the products affected by this measure, for a minimum amount equivalent to that provided in Article 21.3 of RD-law 6/2022, were not required to make such payment.</w:t>
      </w:r>
    </w:p>
    <w:p>
      <w:r>
        <w:t>(14) According to Article 21 of RD-law 6/2022, operators with refining capacity in Spain and with an annual turnover exceeding 750 million euros. In the case of the aforementioned energy products and additives, the value of said contribution was set at €0.05 for each liter sold (Article 21.3 of RD-law 6/2022). The validity of these measures would initially end on June 30, 2022, although they were extended in accordance with the provisions of Royal Decree-Law 11/2022, of June 25, which adopts and extends certain measures to respond to the economic and social consequences of the war in Ukraine, to address situations of social and economic vulnerability, and for the economic and social recovery of the island of La Palma (RD-law 11/2022).</w:t>
      </w:r>
    </w:p>
    <w:p>
      <w:r>
        <w:rPr>
          <w:b/>
        </w:rPr>
        <w:t>[Pages 7–9]</w:t>
      </w:r>
    </w:p>
    <w:p>
      <w:r>
        <w:t>S/0006/25 BP/CEPSA/REPSOL</w:t>
      </w:r>
    </w:p>
    <w:p>
      <w:r>
        <w:t>3.2. PRODUCT MARKETS</w:t>
      </w:r>
    </w:p>
    <w:p>
      <w:r>
        <w:t>3.2.1. WHOLESALE DISTRIBUTION MARKETS FOR MOTOR FUELS</w:t>
      </w:r>
    </w:p>
    <w:p>
      <w:r>
        <w:t>3.2.1.1. Wholesale market for the supply or first sale of refined products</w:t>
      </w:r>
    </w:p>
    <w:p>
      <w:r>
        <w:t>(14) The so-called market for the supply or first sale of refined products constitutes the first level of the wholesale distribution market, in which large volumes of petroleum-derived products obtained directly at refineries or supplied at storage terminals are traded. This market includes both refined fuel (from refineries located within the national territory) and imported fuels received at storage terminals. On the supply side, this market includes the holders of refineries and the importers of petroleum products.</w:t>
      </w:r>
    </w:p>
    <w:p>
      <w:r>
        <w:t>3.2.1.2. Intermediate wholesale market for the supply of motor fuels</w:t>
      </w:r>
    </w:p>
    <w:p>
      <w:r>
        <w:t>(15) As noted in European precedents, below the activity of first sale or supply of refined products (the first level of wholesale distribution), an intermediate wholesale market can be distinguished.</w:t>
      </w:r>
    </w:p>
    <w:p>
      <w:r>
        <w:t>(16) Unlike the first sale market, in which large volumes are supplied by refiners directly at the exit (gate) of the refinery or from loading terminals through primary transport (generally, railway, pipeline, ship, or barge), the intermediate wholesale market has its own characteristics, such as other value-added services, the delivery of smaller volumes through secondary transport means (generally, truck), multiple delivery points, storage infrastructure and terminals, a higher level of capillarity, and in many cases, flexibility in terms of payment.</w:t>
      </w:r>
    </w:p>
    <w:p>
      <w:r>
        <w:t>(17) The demand for this intermediate wholesale segment is made up of intermediaries or end customers with high consumption demand distinct from retail consumers (hence the designation "non-retail channel" or "non retail-sales" - occasionally used by the European Commission - to distinguish this segment, on one hand, from the upstream primary supply market, referred to as "primary supply," and on the other hand, from the retail market aimed at end consumers, "retail channel"). Among the demanders of this intermediate wholesale market are commercial or industrial clients (private or public), non-integrated wholesale resellers, or retail resellers, such as holders of service stations (branded or not).</w:t>
      </w:r>
    </w:p>
    <w:p>
      <w:r>
        <w:t>3.2.1.3. Market segment for the supply of motor fuels to service stations</w:t>
      </w:r>
    </w:p>
    <w:p>
      <w:r>
        <w:t>(18) European precedents have raised the possible segmentation in the activity of intermediate wholesale sales, between the supply or first sale of refined products and sales to the end consumer, considering, on one hand, sales to end and industrial consumers and, on the other, sales to service stations and independent resellers.</w:t>
      </w:r>
    </w:p>
    <w:p>
      <w:r>
        <w:t>(19) This segmentation is also consistent with the recent practice of the CNMC regarding concentrations in the retail distribution market of fuels at service stations, in which operations also analyze the market situated at the immediately higher level, that is, the market for the distribution of fuels to service stations, with express mention of the shares in that market.</w:t>
      </w:r>
    </w:p>
    <w:p>
      <w:r>
        <w:t>(20) Therefore, for the purposes of this file, it is considered that the relevant market is the wholesale market for the distribution of motor fuels to service stations.</w:t>
      </w:r>
    </w:p>
    <w:p>
      <w:r>
        <w:t>3.2.2. RETAIL DISTRIBUTION MARKET FOR MOTOR FUELS</w:t>
      </w:r>
    </w:p>
    <w:p>
      <w:r>
        <w:t>(21) The retail distribution of petroleum-derived products encompasses the transactions of buying and selling these products destined for the end customer. According to national and European precedents, the retail sale of fuels through service stations does not distinguish between those belonging to an operator's network or white service stations and is considered a different market from direct sales (off-network). Furthermore, this market would encompass all fuels available at service stations (gasolines and diesel), without including additional segmentations.</w:t>
      </w:r>
    </w:p>
    <w:p>
      <w:r>
        <w:t>(22) Retail distributors of motor fuels at service stations operate under different modalities:</w:t>
        <w:br/>
        <w:t>a. Under the flag of wholesale operators through their own or branded service stations (whether they are oil companies with refining capacity, such as REPSOL, CEPSA, or BP, or wholesalers without refining capacity, such as DISA or MEROIL).</w:t>
        <w:br/>
        <w:t>b. Under the brands of hypermarkets (CARREFOUR, ALCAMPO, EROSKI).</w:t>
        <w:br/>
        <w:t>c. Under their own flags in the case of independent service stations (such as BALLENOIL, PETROPRIX, NAFTE, GASEXPRESS, PLENOIL), without exclusive supply relationships with wholesale operators.</w:t>
      </w:r>
    </w:p>
    <w:p>
      <w:r>
        <w:t>(23) Regarding the demand for motor fuels at service stations, European precedents have considered that this market can be segmented according to the type of consumer, distinguishing between sales to professional clients and sales to individual clients.</w:t>
      </w:r>
    </w:p>
    <w:p>
      <w:r>
        <w:t>3.3. GEOGRAPHICAL MARKETS</w:t>
      </w:r>
    </w:p>
    <w:p>
      <w:r>
        <w:t>3.3.1. Wholesale distribution markets for motor fuels</w:t>
      </w:r>
    </w:p>
    <w:p>
      <w:r>
        <w:t>(24) Given that the supply of fuels is primarily carried out by operators with refining capacity, national precedents have considered a national dimension of the wholesale market for the supply or first sale of refined products.</w:t>
      </w:r>
    </w:p>
    <w:p>
      <w:r>
        <w:t>(25) For its part, European precedents have also considered that the geographical scope of the intermediate wholesale market for the distribution of motor fuels to service stations is national. In the case of Spain, it is necessary to take into account the existence of refining capacity that covers more than 80% of domestic demand, combined with national logistical and regulatory specificities (such as biofuel obligations and reserves).</w:t>
      </w:r>
    </w:p>
    <w:p>
      <w:r>
        <w:t>(26) The sale of fuels to professional clients is characterized by the purchase of large volumes of fuel and prior negotiation of the final price, on which a series of personalized discounts are applied concerning different types of prices. These discounts are usually articulated through the issuance of loyalty and payment cards by the retail distributor. In this regard, the aforementioned European precedents consider that sales not made through these cards should be classified as sales to individual clients.</w:t>
      </w:r>
    </w:p>
    <w:p>
      <w:r>
        <w:t>(27) Retail distribution to individual clients is characterized by the sale of a small volume per refueling, with price according to the monolith, not being the price the fundamental variable when choosing the usual service station.</w:t>
      </w:r>
    </w:p>
    <w:p>
      <w:r>
        <w:rPr>
          <w:b/>
        </w:rPr>
        <w:t>[Pages 10–12]</w:t>
      </w:r>
    </w:p>
    <w:p>
      <w:r>
        <w:t>S/0006/25 BP/CEPSA/REPSOL</w:t>
      </w:r>
    </w:p>
    <w:p>
      <w:r>
        <w:t>strategies managed at the national level), which shape a homogeneous competition framework within the national territory and distinct from that of other Member States.</w:t>
      </w:r>
    </w:p>
    <w:p>
      <w:r>
        <w:t>3.3.2. Retail distribution market for motor fuels</w:t>
      </w:r>
    </w:p>
    <w:p>
      <w:r>
        <w:t>(26) National and European precedents have considered that the retail distribution market for motor fuels is a market of national dimension, although it is characterized by a strong local component.</w:t>
      </w:r>
    </w:p>
    <w:p>
      <w:r>
        <w:t>4. OBJECT OF THE COMPLAINT</w:t>
      </w:r>
    </w:p>
    <w:p>
      <w:r>
        <w:t>(27) According to the complaints filed by AESAE and ACIH, the companies BP, CEPSA, and REPSOL would have incurred in an alleged abuse of collective dominant position and in alleged collusive practices, through which, in order to increase their market shares, they would have aligned themselves to, on the one hand, increase wholesale selling prices and, on the other, apply discounts in retail sales associated with the use of their respective loyalty and payment cards, taking advantage of the instability of the fuel markets caused by the war in Ukraine.</w:t>
      </w:r>
    </w:p>
    <w:p>
      <w:r>
        <w:t>(28) In particular, according to the complaint filed by AESAE, the discounts promoted by REPSOL in its retail sales of motor fuels at service stations starting from March 16, 2022 (up to €0.10/liter for private customers, contingent upon payment with the Waylet application), did not have their counterpart in the wholesale sales segment.</w:t>
      </w:r>
    </w:p>
    <w:p>
      <w:r>
        <w:t>(29) According to the analyses carried out by AESAE regarding the sale of 95 octane gasoline, between [CONFIDENTIAL EXCEPT FOR AESAE %] [65-75]% and [CONFIDENTIAL EXCEPT FOR AESAE %] [85-95]% of the automatic service stations of the most relevant groups of this business model located in the provinces of Madrid, Valencia, Seville, and Malaga, whose supplier was REPSOL, would have had to sell below the wholesale purchase price to match REPSOL's single price. In the case of the sale of diesel A, [CONFIDENTIAL EXCEPT FOR AESAE %] [95-105]% of the automatic service stations of the most relevant groups of this business model, Ballenoil and Petroprix, whose supplier was REPSOL, would have had to operate below the wholesale purchase price to match REPSOL's single price.</w:t>
      </w:r>
    </w:p>
    <w:p>
      <w:r>
        <w:t>(30) In AESAE's opinion, the conduct of both REPSOL and the companies that monitored its practices would have aimed to produce a narrowing of margins in order to drive wholesale holders of automatic service stations out of the market.</w:t>
      </w:r>
    </w:p>
    <w:p>
      <w:r>
        <w:t>(31) The above would constitute, according to the complaint by AESAE, a violation of Article 101.1 of the TFEU and Article 1.1, letters a), c), and d), as well as Article 2.2, letters a) and d) of the LDC.</w:t>
      </w:r>
    </w:p>
    <w:p>
      <w:r>
        <w:t>(32) For its part, according to the complaint filed by ACIH, the three companies with refining capacity in Spain (REPSOL, CEPSA, and BP) took advantage of the application of RD-law 6/2022 to initiate respective loyalty campaigns based on the application of additional discounts to those contemplated in the aforementioned regulation. These companies would have maintained a high value of their prices in the wholesale market, limiting the ability of their competitors to adopt similar strategies in the retail market.</w:t>
      </w:r>
    </w:p>
    <w:p>
      <w:r>
        <w:t>(33) Thus, the accused REPSOL, CEPSA, and BP would have held, in ACIH's opinion, a collective dominant position in the refining market (first sale) and in the wholesale market, determined by the oligopolistic and concentrated nature of these markets, the vertical integration of the dominant companies, and the reduced competitive pressure exerted in Spain by imports of petroleum-derived products.</w:t>
      </w:r>
    </w:p>
    <w:p>
      <w:r>
        <w:t>(34) ACIH stated that the accused not only would have held such a collective dominant position but would have abused that position by implementing abusive discount campaigns that, combined with their position in the wholesale market, would have resulted in a practice of narrowing margins.</w:t>
      </w:r>
    </w:p>
    <w:p>
      <w:r>
        <w:t>(35) The reported behaviors would constitute, according to ACIH, an abuse of collective dominant position and, therefore, a violation of Article 2 of the LDC and Article 102 of the TFEU.</w:t>
      </w:r>
    </w:p>
    <w:p>
      <w:r>
        <w:t>5. LEGAL GROUNDS</w:t>
      </w:r>
    </w:p>
    <w:p>
      <w:r>
        <w:t>5.1. Competence to resolve</w:t>
      </w:r>
    </w:p>
    <w:p>
      <w:r>
        <w:t>(36) According to Article 5.1.c) of Law 3/2013, of June 4, establishing the National Commission on Markets and Competition, this body is competent to "apply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National Commission on Markets and Competition, approved by Royal Decree 657/2013, of August 30, "the Competition Chamber shall hear matters related to the application of Law 15/2007, of July 3."</w:t>
      </w:r>
    </w:p>
    <w:p>
      <w:r>
        <w:t>(37) Consequently, the competence to resolve this procedure corresponds to the Competition Chamber of the CNMC Council.</w:t>
      </w:r>
    </w:p>
    <w:p>
      <w:r>
        <w:t>5.2. Object of the agreement and proposal of the instructing body</w:t>
      </w:r>
    </w:p>
    <w:p>
      <w:r>
        <w:t>(38) This Chamber must assess in the present agreement whether the requirements for the application of Article 49.3 of the LDC are met, that is, the absence of indications of infringement, in order to, as proposed by the Competition Directorate, agree not to initiate the sanctioning procedure and to archive the actions carried out so far.</w:t>
      </w:r>
    </w:p>
    <w:p>
      <w:r>
        <w:t>(39) Article 49.1 of the LDC provides that the Competition Directorate shall initiate a sanctioning file when it observes reasonable indications of the existence of behaviors prohibited by Articles 1, 2, and 3 of the same Law. However, in section 3 of the aforementioned Article 49, it is added that the Council, at the proposal of the Competition Directorate, may agree not to initiate a sanctioning procedure and, consequently, to archive the actions when it considers that there are no indications of infringement.</w:t>
      </w:r>
    </w:p>
    <w:p>
      <w:r>
        <w:t>(40) On the other hand, Article 27.1 of Royal Decree 261/2008, of February 22, which approves the Competition Defense Regulation, provides that: "1. In order for the Council of the National Commission on Markets and Competition to agree not to initiate a procedure and archive the actions in the terms established in Articles 44 and 49.3 of Law 15/2007, of July 3, the Competition Directorate shall forward the received complaint, the preliminary actions carried out, if any, and a proposal for archiving."</w:t>
      </w:r>
    </w:p>
    <w:p>
      <w:r>
        <w:t>(41) In its report of February 11, 2026, the Competition Directorate proposed to this Chamber the non-initiation of the sanctioning procedure and the archiving of the actions, in accordance with the provisions of Article 49.3 of the LDC, as it considers that, in relation to the reported facts, there are no indications of infringement of the LDC.</w:t>
      </w:r>
    </w:p>
    <w:p>
      <w:r>
        <w:t>5.3. Assessment of the Competition Chamber</w:t>
      </w:r>
    </w:p>
    <w:p>
      <w:r>
        <w:t>(42) The Chamber agrees with the conclusions reached by the Competition Directorate regarding the behaviors examined in the present file.</w:t>
      </w:r>
    </w:p>
    <w:p>
      <w:r>
        <w:t>5.3.1. On the alleged collusive conduct</w:t>
      </w:r>
    </w:p>
    <w:p>
      <w:r>
        <w:t>(43) Article 1 of the LDC establishes the prohibition of certain collusive practices among economic operators that restrict competition by their object or by their effects. For there to be a violation of this article, it is necessary to demonstrate the existence of a "collective agreement, decision or recommendation, or concerted or consciously parallel practice, which has as its object, produces or may produce the effect of preventing, restricting or distorting competition in all or part of the national market." To do this, it is necessary to demonstrate the existence of a concertation among competitors aimed at distorting competition to the benefit of the participating companies.</w:t>
      </w:r>
    </w:p>
    <w:p>
      <w:r>
        <w:rPr>
          <w:b/>
        </w:rPr>
        <w:t>[Pages 13–15]</w:t>
      </w:r>
    </w:p>
    <w:p>
      <w:r>
        <w:t>S/0006/25 BP/CEPSA/REPSOL</w:t>
      </w:r>
    </w:p>
    <w:p>
      <w:r>
        <w:t>(44) According to the Competition Directorate, CEPSA28 and BP29 were aware of REPSOL's strategy (discount campaign initiated in March 2022 and extension of the application period for the discounts associated with RD-law 6/2022) through media and announcements accessible to the general public.</w:t>
      </w:r>
    </w:p>
    <w:p>
      <w:r>
        <w:t>(45) In particular, according to information in the file, CEPSA analyzed both the measures adopted by REPSOL and its possible response to them once it learned through media and public announcements from REPSOL about the latter's initiatives.</w:t>
      </w:r>
    </w:p>
    <w:p>
      <w:r>
        <w:t>(46) Furthermore, from the initial analysis conducted by CEPSA, it can be inferred that this company was not aware of the actions that would be instituted by REPSOL after the discount campaign of March 2022, indicating that it was merely “a time-limited promotion (mid-April), the scope (only Waylet customers), and in value (...)”30.</w:t>
      </w:r>
    </w:p>
    <w:p>
      <w:r>
        <w:t>(47) In the same vein, BP was unaware of REPSOL's objectives regarding the extension of the measures introduced by RD-law 6/2022, which, in principle, would end in June 2022, until the approval of RD-law 11/2022, stating, in this regard, according to evidence collected during the inspection, that: “WE do not know if Repsol will continue to offer 10 cents more to professional customers. For now, we maintain our position and will review the situation when we have more market information.”31</w:t>
      </w:r>
    </w:p>
    <w:p>
      <w:r>
        <w:t>(48) This Chamber agrees with the Competition Directorate that all of this would indicate an absence of both collusion and information exchange among the accused, revealing, on the contrary, that neither CEPSA nor BP were aware of the actions that REPSOL intended to adopt, nor how that company would extend the conditions associated with the extension of the discounts included in RD-law 6/2022. What has been demonstrated, rather, has been the monitoring by CEPSA and BP of REPSOL's discount policies, based on publicly available information.</w:t>
      </w:r>
    </w:p>
    <w:p>
      <w:r>
        <w:t>(49) Additionally, CEPSA and BP were negatively affected by REPSOL's discount policies. Thus, in the case of CEPSA, these policies resulted in a transfer of customers to REPSOL “[(…) right now the transfer of customers is towards Repsol. There is no record that they are going to [CONFIDENTIAL EXCEPT FOR CEPSA]”32. And in the case of BP, this company highlighted REPSOL's recovery and the difference with BP's results in the second quarter of 2022: [CONFIDENTIAL EXCEPT FOR BP (“]33. Consequently, this would rule out the existence of indications of collusion among the three accused companies.</w:t>
      </w:r>
    </w:p>
    <w:p>
      <w:r>
        <w:t>(50) For all the above reasons, this Chamber considers that there are not sufficient rational indications that suggest the possible existence of an infringement that should lead to the initiation of sanctioning proceedings for an alleged violation of Article 1 of the LDC.</w:t>
      </w:r>
    </w:p>
    <w:p>
      <w:r>
        <w:t>5.3.2. Regarding the alleged abuse of dominant position</w:t>
      </w:r>
    </w:p>
    <w:p>
      <w:r>
        <w:t>(51) The complaints filed consider that REPSOL, CEPSA, and BP would have incurred in an alleged abuse of collective dominant position consisting of a narrowing of margins in the wholesale and retail market for the distribution of motor fuels at service stations.</w:t>
      </w:r>
    </w:p>
    <w:p>
      <w:r>
        <w:t>(52) In this regard, it should be noted that to consider an infringement of Article 2 of the LDC as established, two simultaneous conditions must be met: (i) that the economic operator has a dominant position in a market defined as relevant and (ii) that it abuses that dominant position.</w:t>
      </w:r>
    </w:p>
    <w:p>
      <w:r>
        <w:t>(53) As indicated by the Competition Directorate in its proposal, the existence of a collective dominant position implies the joint action of two or more legally independent entities, so that they present themselves in the market as a collective entity from an economic point of view34.</w:t>
      </w:r>
    </w:p>
    <w:p>
      <w:r>
        <w:t>(54) Thus, according to national jurisprudence35, which in turn cites European jurisprudence36 as a starting point for the definition of collective dominant position, it is a “relationship of interdependence that exists among the members of a narrow oligopoly within which, in a market with the appropriate characteristics, especially in terms of market concentration, transparency, and product homogeneity, they can foresee their reciprocal behaviors and are therefore largely driven to coordinate their behavior in the market, in particular, to maximize their common profits by restricting production in order to increase prices. Indeed, in such a context, each operator knows that a highly competitive action on their part, aimed at increasing their market share (for example, a price reduction), would provoke an identical action by the others, so that they would not gain any benefit from their initiative. All operators would therefore have to bear the decline in price levels."</w:t>
      </w:r>
    </w:p>
    <w:p>
      <w:r>
        <w:t>(55) European jurisprudence37 has pointed out the requirements for determining the existence of a collective dominant position, which are: i) common behavior or strategy that is advantageous for the dominant companies38; ii) the ability of the dominant operators to know the behavior of the other members to verify whether they are adopting the same line of action39; iii) it is necessary that the situation of tacit coordination can be maintained over time40; and iv) it must be demonstrated that the reaction Only in the case of an affirmative response should it be examined whether that collective entity effectively occupies a dominant position and whether it behaves abusively.</w:t>
      </w:r>
    </w:p>
    <w:p>
      <w:r>
        <w:t>35 SAN 182/2017, of May 23, 2017, Administrative Litigation Chamber, Section 6, ECLI: ES:AN:2017:2110.</w:t>
      </w:r>
    </w:p>
    <w:p>
      <w:r>
        <w:t>36 In particular, the Judgment of the Court of First Instance of March 25, 1999, Gencor Ltd. v. Commission, Case T-102/96, paragraph 276.</w:t>
      </w:r>
    </w:p>
    <w:p>
      <w:r>
        <w:t>37 Judgment Gencor of the Court of First Instance, of March 25, 1999, Gencor Ltd. v. Commission, Case T-102/96; Judgment of the Court of Justice of March 16, 2000, Joined Cases C-395/96 P and C-396/96 P, Compagnie maritime belge transports and others v. Commission, and Judgment of the Court of First Instance of June 6, 2002, Case T-342/99, Airtours plc v. Commission.</w:t>
      </w:r>
    </w:p>
    <w:p>
      <w:r>
        <w:t>38 “(...) in such a context, each operator knows that a highly competitive action on their part, aimed at increasing their market share (for example, a price reduction), would provoke an identical action by the others, so that they would not obtain any benefit from their initiative. All operators would therefore have to bear the decline in price levels”: Judgment Gencor, paragraph 276.</w:t>
      </w:r>
    </w:p>
    <w:p>
      <w:r>
        <w:t>39 “the transparency of the market must be sufficient to allow all members of the dominant oligopoly to know sufficiently precisely and immediately the evolution of the behavior of each of the other members in the market”: Judgment Airtours, paragraph 62.</w:t>
      </w:r>
    </w:p>
    <w:p>
      <w:r>
        <w:t>40 “that is, there must be an incentive not to deviate from the common line of conduct in the market (...). This requirement includes that there are reprisals in the event that a behavior deviates from the common line of action.” Judgment Airtours, paragraph 62.</w:t>
      </w:r>
    </w:p>
    <w:p>
      <w:r>
        <w:rPr>
          <w:b/>
        </w:rPr>
        <w:t>[Pages 16–18]</w:t>
      </w:r>
    </w:p>
    <w:p>
      <w:r>
        <w:t>S/0006/25 BP/CEPSA/REPSOL</w:t>
      </w:r>
    </w:p>
    <w:p>
      <w:r>
        <w:t>(55) The foreseeable behavior of current and potential competitors and consumers would not call into question the expected results of the common course of action.</w:t>
      </w:r>
    </w:p>
    <w:p>
      <w:r>
        <w:t>(56) These requirements should not be analyzed in isolation and abstractly. The assessment of the effects of transparency in a given market must be made taking into account the functioning of a possible tacit coordination, as only in this way is it possible to verify whether the possible elements of transparency existing in a market are "capable of facilitating the tacit definition of a common course of action and allowing the competitors in question to sufficiently monitor whether the procedures of such a course of action are being respected."</w:t>
      </w:r>
    </w:p>
    <w:p>
      <w:r>
        <w:t>(57) On the other hand, it should be noted that coordination in the actions of the allegedly dominant companies will be easier the greater the degree of symmetry among them, in terms of market share, economic ties, or cost structures, among others. Thus, possession (especially in cases of duopoly) of a high market share can constitute a very important indication of the existence of a collective dominant position.</w:t>
      </w:r>
    </w:p>
    <w:p>
      <w:r>
        <w:t>(58) In the present file, it is relevant to note that REPSOL not only has a greater refining capacity, but also, having a greater number of refineries, its geographical coverage is superior to that of its competitors, granting it logistical advantages regarding the distribution of automotive fuels to service stations. Furthermore, REPSOL's logistical activity is also benefited by the storage capacity available at its refineries. Moreover, since in this market deliveries are made at storage logistics points or at the refinery itself, REPSOL enjoys privileged geographical coverage compared to that of its vertically integrated competitors.</w:t>
      </w:r>
    </w:p>
    <w:p>
      <w:r>
        <w:t>(59) The table shown below evidences the differences in refining capacity among the three accused companies. Thus, it can be verified that in 2022 REPSOL had a refining capacity significantly higher than that of its competitors; specifically, REPSOL's refineries had a [CONFIDENTIAL EXCEPT FOR REPSOL %] [55-65]% greater capacity than the refineries belonging to CEPSA and a capacity [CONFIDENTIAL EXCEPT FOR REPSOL] [five-fifteen] times greater than the capacity of BP's refinery. If we calculate the refining capacity of each of the...</w:t>
      </w:r>
    </w:p>
    <w:p>
      <w:r>
        <w:t>(61) It should also be highlighted that REPSOL, CEPSA, and BP, legally independent entities, do not present themselves in the market as a single collective entity from an economic point of view, and there has been no evidence of economic ties among the three companies that would allow them to act jointly independently of their competitors, clients, and consumers, taking into account the structure of the market for the distribution of automotive fuels to service stations.</w:t>
      </w:r>
    </w:p>
    <w:p>
      <w:r>
        <w:t>(62) Regarding compliance with the requirements demanded by European jurisprudence to declare the existence of a collective dominant position, this Council considers that they are not met in the present file for the reasons set forth below.</w:t>
      </w:r>
    </w:p>
    <w:p>
      <w:r>
        <w:t>(63) First, concerning the existence of a common behavior or strategy that would be advantageous for the dominant companies, it should be noted, according to evidence in the file, that while the three accused companies implemented a strategy based on discounts in the retail distribution market of automotive fuels at service stations, not all benefited in the same way, with REPSOL achieving the highest profitability, even capturing clients from CEPSA, and BP notably remarked on REPSOL's recovery and the difference between the two companies in the results of the second quarter of 2022.</w:t>
      </w:r>
    </w:p>
    <w:p>
      <w:r>
        <w:t>(64) In addition to what was noted in the previous paragraph, the difference in the evolution of the companies can be appreciated in the analysis of the evolution of the market shares of REPSOL, CEPSA, and BP. According to the data shown in Table 2, REPSOL managed to increase its market share by more than [CONFIDENTIAL EXCEPT FOR REPSOL [0-10] percentage points between the years 2021 and 2022, years in which the analyzed behaviors were executed. Unlike the evolution of this company, CEPSA and BP did not see their market share modified between 2021 and 2022.</w:t>
      </w:r>
    </w:p>
    <w:p>
      <w:r>
        <w:t>(65) Similarly, as previously stated, CEPSA and BP learned from public information about the start of the discount campaign implemented by REPSOL as well as its subsequent extension until the summer.</w:t>
      </w:r>
    </w:p>
    <w:p>
      <w:r>
        <w:t>(66) From the above, it follows that REPSOL initiated the discount strategy and also extended it (until the end of 2022) unilaterally, without the support or prior knowledge of CEPSA and BP.</w:t>
      </w:r>
    </w:p>
    <w:p>
      <w:r>
        <w:t>(67) Additionally, the preliminary analysis of REPSOL's campaign conducted by CEPSA referred to the latter's initial inability to replicate the measures adopted by REPSOL, given the high costs and existing technical difficulties, while BP, for its part, stated that it was unaware whether REPSOL would extend the discounts for professionals once the campaign ended in June 2022.</w:t>
      </w:r>
    </w:p>
    <w:p>
      <w:r>
        <w:t>(68) All of this would demonstrate, in the opinion of this Chamber, the absence of a common strategy that benefited the three accused companies, ruling out compliance with the first requirement demanded by jurisprudence to declare the existence of a collective dominant position.</w:t>
      </w:r>
    </w:p>
    <w:p>
      <w:r>
        <w:t>(69) Regarding compliance with the second requirement, related to the ability of the dominant operators to know the behavior of the other members to verify whether they are adopting the same course of action, it should be stated that, while BP and CEPSA could know the measures adopted by REPSOL, their knowledge was the same as that which any other competitor or even consumer could have had, having obtained the information from public sources, as evidenced by the facts described in paragraphs (46) and (47) of this agreement.</w:t>
      </w:r>
    </w:p>
    <w:p>
      <w:r>
        <w:t>(70) Regarding the sustainability of the strategy over time, it should be noted that, once REPSOL's discount campaign was initiated, both CEPSA and BP recorded the unfavorable results that the evolution of REPSOL's sales was causing them. In particular, CEPSA referred to the decline they were experiencing in their sales and the problems that REPSOL's measures were causing them in the light sales segment and identified a loss of professional clients in favor of REPSOL, being unaware that the clients had been absorbed by independent service stations “(…) right now the transfer of clients is towards Repsol. There is no record that they are going to [CONFIDENTIAL EXCEPT FOR CEPSA].”</w:t>
      </w:r>
    </w:p>
    <w:p>
      <w:r>
        <w:t>(71) For its part, BP not only failed to increase its sales at a rate equal to that of REPSOL, but in the second quarter of 2022 saw its volume loss accentuated, in clear contrast to REPSOL, whose recovery BP described as “[CONFIDENTIAL EXCEPT FOR BP].”</w:t>
      </w:r>
    </w:p>
    <w:p>
      <w:r>
        <w:t>(72) All of this would demonstrate not only an asymmetry in the results obtained by the three operators (better results for REPSOL compared to CEPSA and BP, as can be seen in the evolution of market shares), but...</w:t>
      </w:r>
    </w:p>
    <w:p>
      <w:r>
        <w:rPr>
          <w:b/>
        </w:rPr>
        <w:t>[Pages 19–19]</w:t>
      </w:r>
    </w:p>
    <w:p>
      <w:r>
        <w:t>S/0006/25 BP/CEPSA/REPSOL</w:t>
      </w:r>
    </w:p>
    <w:p>
      <w:r>
        <w:t>also the impossibility of maintaining over time a monitoring of REPSOL's discount policy.</w:t>
      </w:r>
    </w:p>
    <w:p>
      <w:r>
        <w:t>(73) Regarding the concurrence of the requirement that the reaction of competitors and consumers would not question the expected results of the common course of action, in the case of CEPSA, an immediate competitor of REPSOL, it has been established that, precisely, the reaction of CEPSA's customers to REPSOL's campaign caused it to lose sales volume in favor of the latter in the retail distribution market for automotive fuels to professional customers.</w:t>
      </w:r>
    </w:p>
    <w:p>
      <w:r>
        <w:t>(74) Taking into account all of the above, this Chamber does not consider that there are sufficient rational indications to establish the existence of a collective dominant position attributable to the companies REPSOL, CEPSA, and BP.</w:t>
      </w:r>
    </w:p>
    <w:p>
      <w:r>
        <w:t>(75) Consequently, since the first of the conditions required to declare the existence of an abuse of a collective dominant position is not met, it is unnecessary to rule on the second condition, related to the existence of abuse, solely for the purpose of dismissing indications of a violation of Article 2 of the LDC.</w:t>
      </w:r>
    </w:p>
    <w:p>
      <w:r>
        <w:t>(76) Based on all of the above, this Chamber</w:t>
      </w:r>
    </w:p>
    <w:p>
      <w:r>
        <w:t>6. DECIDES</w:t>
      </w:r>
    </w:p>
    <w:p>
      <w:r>
        <w:t>Sole. Not to initiate sanctioning proceedings and to agree to the filing of the actions taken within the framework of file S/0006/25 BP/CEPSA/REPSOL, considering that there are no indications of a violation of Law 15/2007, of July 3, on the Defense of Competition.</w:t>
      </w:r>
    </w:p>
    <w:p>
      <w:r>
        <w:t>This agreement shall be communicated to the Competition Directorate and to the complainants, informing them that there is no appeal against it in the administrative route, and that they may file a contentious-administrative appeal in the National Court within two months from the day following its notification. It shall also be communicated to the accused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