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https://www.cnmc.es/expedientes/s000925</w:t>
      </w:r>
    </w:p>
    <w:p>
      <w:r>
        <w:t>Pages translated : 30</w:t>
      </w:r>
    </w:p>
    <w:p/>
    <w:p>
      <w:r>
        <w:rPr>
          <w:b/>
        </w:rPr>
        <w:t>[Pages 1–3]</w:t>
      </w:r>
    </w:p>
    <w:p>
      <w:r>
        <w:t xml:space="preserve">S/0009/25  </w:t>
        <w:br/>
        <w:t xml:space="preserve">GOOGLE AMP AND PROGRAMMATIC ADVERTISING  </w:t>
        <w:br/>
        <w:t xml:space="preserve">RESOLUTION  </w:t>
        <w:br/>
        <w:t xml:space="preserve">GOOGLE AMP AND PROGRAMMATIC ADVERTISING  </w:t>
        <w:br/>
        <w:t xml:space="preserve">S/0009/25  </w:t>
        <w:br/>
        <w:t xml:space="preserve">COUNCIL. COMPETITION CHAMBER  </w:t>
        <w:br/>
        <w:t xml:space="preserve">President  </w:t>
        <w:br/>
        <w:t xml:space="preserve">Ms. Cani Fernández Vicién  </w:t>
        <w:br/>
        <w:t xml:space="preserve">Councillors  </w:t>
        <w:br/>
        <w:t xml:space="preserve">Ms. Pilar Sánchez Núñez  </w:t>
        <w:br/>
        <w:t xml:space="preserve">Mr. Pere Soler Campins  </w:t>
        <w:br/>
        <w:t xml:space="preserve">Ms. María Vidales Picazo  </w:t>
        <w:br/>
        <w:t xml:space="preserve">Secretary  </w:t>
        <w:br/>
        <w:t xml:space="preserve">Mr. Miguel Bordiu García-Ovies  </w:t>
        <w:br/>
        <w:t xml:space="preserve">In Madrid, on December 17, 2025  </w:t>
        <w:br/>
        <w:t xml:space="preserve">The Competition Chamber of the Council of the National Commission of Markets and Competition (CNMC) with the expressed composition, has issued the following resolution in the reference file following the complaint filed by the Spanish Center for Reprographic Rights (CEDRO) against Google.  </w:t>
        <w:br/>
        <w:t xml:space="preserve">National Commission of Markets and Competition 1 of 30  </w:t>
        <w:br/>
        <w:t xml:space="preserve">C/ Alcalá, 47 – 28014 Madrid - C/ Bolivia, 56 – 08018 Barcelona  </w:t>
        <w:br/>
        <w:t>www.cnmc.es</w:t>
      </w:r>
    </w:p>
    <w:p>
      <w:r>
        <w:t xml:space="preserve">S/0009/25  </w:t>
        <w:br/>
        <w:t xml:space="preserve">GOOGLE AMP AND PROGRAMMATIC ADVERTISING  </w:t>
        <w:br/>
        <w:t xml:space="preserve">TABLE OF CONTENTS  </w:t>
        <w:br/>
        <w:t xml:space="preserve">1. BACKGROUND ........................................................................................ 4  </w:t>
        <w:br/>
        <w:t xml:space="preserve">2. THE PARTIES .......................................................................................... 9  </w:t>
        <w:br/>
        <w:t xml:space="preserve">2.1. Respondent: GOOGLE ........................................................................... 9  </w:t>
        <w:br/>
        <w:t xml:space="preserve">2.1.1. General description ..................................................................................... 9  </w:t>
        <w:br/>
        <w:t xml:space="preserve">2.1.2. Business model .......................................................................................... 9  </w:t>
        <w:br/>
        <w:t xml:space="preserve">2.2. Complainant: Spanish Center for Reprographic Rights (CEDRO) ..... 10  </w:t>
        <w:br/>
        <w:t xml:space="preserve">2.3. Other interested parties ........................................................................ 11  </w:t>
        <w:br/>
        <w:t xml:space="preserve">2.3.1. Association of Information Media (“AMI”) ............................................... 11  </w:t>
        <w:br/>
        <w:t xml:space="preserve">2.3.2. Spanish Association of Periodical Publications Publishers (“AEEPP”) ...... 12  </w:t>
        <w:br/>
        <w:t xml:space="preserve">3. REFERENCE MARKETS ...................................................................... 12  </w:t>
        <w:br/>
        <w:t xml:space="preserve">3.1. Provision of general internet search services ...................................... 12  </w:t>
        <w:br/>
        <w:t xml:space="preserve">3.1.1. Product market .......................................................................................... 12  </w:t>
        <w:br/>
        <w:t xml:space="preserve">3.1.2. Geographic market .................................................................................... 14  </w:t>
        <w:br/>
        <w:t xml:space="preserve">3.2. Publishing and marketing of press publications .................................. 15  </w:t>
        <w:br/>
        <w:t xml:space="preserve">3.2.1. Product market .......................................................................................... 15  </w:t>
        <w:br/>
        <w:t xml:space="preserve">3.2.2. Geographic market .................................................................................... 15  </w:t>
        <w:br/>
        <w:t xml:space="preserve">3.3. Sale of online advertising spaces ........................................................... 16  </w:t>
        <w:br/>
        <w:t xml:space="preserve">3.3.1. Product market .......................................................................................... 16  </w:t>
        <w:br/>
        <w:t xml:space="preserve">3.3.2. Geographic market .................................................................................... 17  </w:t>
        <w:br/>
        <w:t xml:space="preserve">3.4. Provision of intermediation services in online advertising ............... 18  </w:t>
        <w:br/>
        <w:t xml:space="preserve">3.4.1. Product market .......................................................................................... 18  </w:t>
        <w:br/>
        <w:t xml:space="preserve">3.4.2. Geographic market .................................................................................... 18  </w:t>
        <w:br/>
        <w:t xml:space="preserve">3.5. Granting of authorizations for the exploitation of press publications ..................................................................................................... 19  </w:t>
        <w:br/>
        <w:t xml:space="preserve">3.5.1. Product market .......................................................................................... 19  </w:t>
        <w:br/>
        <w:t xml:space="preserve">3.5.2. Geographic market .................................................................................... 21  </w:t>
        <w:br/>
        <w:t xml:space="preserve">4. FACTS ...................................................................................................... 21  </w:t>
        <w:br/>
        <w:t xml:space="preserve">4.1. Agreements signed by GOOGLE with Spanish press publishers and news agencies ................................................................. 22  </w:t>
        <w:br/>
        <w:t xml:space="preserve">4.2. The AMP content publication format .................................................... 22  </w:t>
        <w:br/>
        <w:t xml:space="preserve">5. LEGAL GROUNDS ................................................................................ 24  </w:t>
        <w:br/>
        <w:t xml:space="preserve">National Commission of Markets and Competition 2 of 30  </w:t>
        <w:br/>
        <w:t xml:space="preserve">C/ Alcalá, 47 – 28014 Madrid - C/ Bolivia, 56 – 08018 Barcelona  </w:t>
        <w:br/>
        <w:t>www.cnmc.es</w:t>
      </w:r>
    </w:p>
    <w:p>
      <w:r>
        <w:t xml:space="preserve">S/0009/25  </w:t>
        <w:br/>
        <w:t xml:space="preserve">GOOGLE AMP AND PROGRAMMATIC ADVERTISING  </w:t>
        <w:br/>
        <w:t xml:space="preserve">5.1. Competence to resolve .......................................................................... 24  </w:t>
        <w:br/>
        <w:t xml:space="preserve">5.2. Object of the resolution and proposal of the instructing body ........... 24  </w:t>
        <w:br/>
        <w:t xml:space="preserve">5.3. Assessment of the Competition Chamber .............................................. 25  </w:t>
        <w:br/>
        <w:t xml:space="preserve">5.3.1. Possible imposition on press publishers of discriminatory access conditions .................................................................................. 25  </w:t>
        <w:br/>
        <w:t xml:space="preserve">5.3.2. Possible imposition on press publishers of the use of the AMP format .......................................................................................... 27  </w:t>
        <w:br/>
        <w:t xml:space="preserve">5.3.3. Abuse of dominant position in the online advertising market and in the provision of advertising intermediation services to press publishers .................................................................................. 28  </w:t>
        <w:br/>
        <w:t xml:space="preserve">6. RESOLVES .............................................................................................. 30  </w:t>
        <w:br/>
        <w:t xml:space="preserve">National Commission of Markets and Competition 3 of 30  </w:t>
        <w:br/>
        <w:t xml:space="preserve">C/ Alcalá, 47 – 28014 Madrid - C/ Bolivia, 56 – 08018 Barcelona  </w:t>
        <w:br/>
        <w:t>www.cnmc.es</w:t>
      </w:r>
    </w:p>
    <w:p>
      <w:r>
        <w:rPr>
          <w:b/>
        </w:rPr>
        <w:t>[Pages 4–6]</w:t>
      </w:r>
    </w:p>
    <w:p>
      <w:r>
        <w:t xml:space="preserve">S/0009/25  </w:t>
        <w:br/>
        <w:t xml:space="preserve">GOOGLE AMP AND PROGRAMMATIC ADVERTISING  </w:t>
        <w:br/>
        <w:t xml:space="preserve">1. BACKGROUND  </w:t>
        <w:br/>
        <w:t xml:space="preserve">(1) On June 16, 2021, a complaint was filed with this CNMC by the Spanish Center for Reprographic Rights (“CEDRO”)1, which was incorporated from file S/0013/22 into the present one upon the deduction of testimony, in which certain practices carried out by Google LLC, Google Ireland Ltd., and Google Spain, S.L. in the Spanish market were highlighted, which could constitute an infringement of Article 2 of Law 15/2007, of July 3, on the Defense of Competition (“LDC”), as well as Article 102 of the Treaty on the Functioning of the European Union (“TFEU”).  </w:t>
        <w:br/>
        <w:t xml:space="preserve">(2) Regarding the relevant aspects for this file, CEDRO reported the abuse of Google's dominant position in the online advertising market and in the provision of advertising intermediation services to press publishers. Specifically, CEDRO alleges the imposition on press publishers of discriminatory access conditions to its services, the imposition of the use of the AMP format, and the commission of abuses in the online advertising market and in the provision of advertising intermediation services to press publishers.  </w:t>
        <w:br/>
        <w:t xml:space="preserve">(3) The complaint was accompanied by annexes, among others, (i) agreements signed by CEDRO with digital content aggregation service providers other than Google LLC, Google Ireland Ltd., Google Spain, S.L., and Alphabet Inc. (hereinafter, these four companies belonging to the same corporate group will be referred to collectively as the company “GOOGLE”)2; (ii) the agreement signed by CEDRO with a search engine-based platform that includes competing services of GOOGLE3; and (iii) the exchange of emails in the context of negotiations with Google competitors that would indicate the upcoming signing of a contract4. Additionally, (iv) correspondence maintained with GOOGLE regarding the provision of information to calculate the equitable compensation corresponding to the period between December 2019 and June 20205.  </w:t>
        <w:br/>
        <w:t xml:space="preserve">(4) The Competition Directorate (DC), within the framework established in section 2 of Article 49 of the LDC, initiated on June 16, 2021, a reserved information procedure under reference DP/022/21 in order to determine, in a preliminary manner, the concurrence of circumstances that justified the initiation of sanctioning proceedings.  </w:t>
        <w:br/>
        <w:t xml:space="preserve">(5) On February 11, 2022, the DC requested certain information from Google LLC, Google Ireland Ltd., and Google Spain, S.L.6 A response was received on March 15, 2022, supplemented on March 18, 20227.  </w:t>
        <w:br/>
        <w:t xml:space="preserve">(6) On May 24, 2022, the DC requested certain information from Google LLC, Google Ireland Ltd., and Google Spain, S.L.8 A response was received on June 14, 2022, supplemented on June 21, 2022, December 20, 2022, and January 24, 20239.  </w:t>
        <w:br/>
        <w:t xml:space="preserve">(7) On December 5, 2022, the DC requested information from certain press publication publishers10, with responses received between December 22, 2022, and January 13, 2023.  </w:t>
        <w:br/>
        <w:t xml:space="preserve">(8) The DC observed reasonable indications of infringement of the LDC and the TFEU regarding the possible imposition of unfair commercial conditions on press publishers and news agencies for the exploitation of their content protected by intellectual property rights, as well as with other practices that could constitute an infringement of intellectual property regulations through which the economic dependency situation of press publishers and news agencies with respect to GOOGLE would be exploited. Therefore, in accordance with the provisions of Article 49.1 of the LDC, this DC agreed on March 28, 2023, to initiate sanctioning proceedings (file registered under number S/0013/22) against Google LLC, Google Ireland Ltd., Google Spain, S.L., and its parent company, Alphabet Inc., for restrictive competition practices prohibited in Articles 2 and 3 of the LDC and 102 of the TFEU, granting the status of interested party in the proceedings to the complainant, CEDRO11.  </w:t>
        <w:br/>
        <w:t xml:space="preserve">(9) On May 8, 2023, the DC requested certain information from GOOGLE12. GOOGLE's response was received by the CNMC on May 29, 2023, supplemented on June 7, 202313.  </w:t>
        <w:br/>
        <w:t xml:space="preserve">(10) On May 19, 2023, the DC requested information from certain news agencies14, with responses received between May 24, 2023, and June 19, 2023.  </w:t>
        <w:br/>
        <w:t xml:space="preserve">(11) On August 29, 2023, the DC requested certain information from GOOGLE15. GOOGLE's response was received by the CNMC on September 19, 2023, supplemented on October 3, 2023, and rectified on November 29, 202316.  </w:t>
        <w:br/>
        <w:t xml:space="preserve">(12) On November 30, 2023, the DC requested certain information from GOOGLE17. GOOGLE's response was received by the CNMC on December 26, 2023, supplemented on May 23, 202418.  </w:t>
        <w:br/>
        <w:t xml:space="preserve">(13) On December 21, 2023, the DC requested certain information from certain press publication publishers, news agencies, and media19, with responses received between January 2, 2024, and January 30, 2024.  </w:t>
        <w:br/>
        <w:t xml:space="preserve">(14) On February 21, 2024, GOOGLE submitted a request to initiate proceedings aimed at the conventional termination of the sanctioning proceedings along with its first proposal for commitments20.  </w:t>
        <w:br/>
        <w:t>(15) On March 15, 2024, an agreement was adopted to incorporate documentation by which certain reports, studies, press releases, website impressions, and other documents21 were incorporated into the file.</w:t>
      </w:r>
    </w:p>
    <w:p>
      <w:r>
        <w:rPr>
          <w:b/>
        </w:rPr>
        <w:t>[Pages 7–9]</w:t>
      </w:r>
    </w:p>
    <w:p>
      <w:r>
        <w:t xml:space="preserve">S/0009/25  </w:t>
        <w:br/>
        <w:t xml:space="preserve">GOOGLE AMP AND PROGRAMMATIC ADVERTISING  </w:t>
        <w:br/>
        <w:t xml:space="preserve">(16) On March 22, 2024, GOOGLE submitted a new updated proposal of commitments in replacement of the one submitted on February 21, 202422.  </w:t>
        <w:br/>
        <w:t xml:space="preserve">(17) On March 22, 2024, this DC agreed, in accordance with the provisions of Article 39.1 of the Competition Defense Regulation, approved by Royal Decree 261/2008, of February 22 (“RDC”), to initiate actions aimed at the conventional termination of the procedure with suspension of the deadline to resolve the sanctioning file initiated and to transfer the proposal of commitments submitted by GOOGLE on March 22, 2024, to CEDRO, AEEPP, and AMI, in their capacity as interested parties in the procedure and in accordance with Article 39.4 of the RDC, so that they could present any allegations they deemed appropriate within a period of fifteen working days23. Such allegations were received by the CNMC on April 16, 202424 and were supplemented by AMI on June 7, 202425 and CEDRO on June 11, 202426.  </w:t>
        <w:br/>
        <w:t xml:space="preserve">(18) On July 8, 2024, GOOGLE submitted a written response to the allegations regarding the proposal of commitments presented by the other interested parties in the procedure, supplemented on July 18, 202427.  </w:t>
        <w:br/>
        <w:t xml:space="preserve">(19) On July 15, 2024, GOOGLE submitted a new updated proposal of commitments in replacement of the one submitted on July 22, 202428.  </w:t>
        <w:br/>
        <w:t xml:space="preserve">(20) On August 2, 2024, GOOGLE submitted a new updated proposal of commitments in replacement of the one submitted on July 15, 202429.  </w:t>
        <w:br/>
        <w:t xml:space="preserve">(21) On December 12, 2024, AEEPP submitted allegations regarding the updated proposal of commitments from GOOGLE dated July 15, 202430.  </w:t>
        <w:br/>
        <w:t xml:space="preserve">22 Folios 6307 a 6319.  </w:t>
        <w:br/>
        <w:t xml:space="preserve">23 Folios 6320 a 6334.  </w:t>
        <w:br/>
        <w:t xml:space="preserve">24 Folios 6379 a 6386, 6374 a 6376 and 6389 a 6417, respectively.  </w:t>
        <w:br/>
        <w:t xml:space="preserve">25 Folios 6458 a 6469.  </w:t>
        <w:br/>
        <w:t xml:space="preserve">26 Folios 6472 a 6476.  </w:t>
        <w:br/>
        <w:t xml:space="preserve">27 Folios 6479 a 6499 (non-confidential 6519 a 6539).  </w:t>
        <w:br/>
        <w:t xml:space="preserve">28 Folios 6502 a 6515.  </w:t>
        <w:br/>
        <w:t xml:space="preserve">29 Folios 6571 a 6584.  </w:t>
        <w:br/>
        <w:t xml:space="preserve">30 Folios 6627 a 6630.  </w:t>
        <w:br/>
        <w:t xml:space="preserve">Comisión Nacional de los Mercados y la Competencia 7 de 30  </w:t>
        <w:br/>
        <w:t xml:space="preserve">C/ Alcalá, 47 – 28014 Madrid - C/ Bolivia, 56 – 08018 Barcelona  </w:t>
        <w:br/>
        <w:t>www.cnmc.es</w:t>
      </w:r>
    </w:p>
    <w:p>
      <w:r>
        <w:t xml:space="preserve">S/0009/25  </w:t>
        <w:br/>
        <w:t xml:space="preserve">GOOGLE AMP AND PROGRAMMATIC ADVERTISING  </w:t>
        <w:br/>
        <w:t xml:space="preserve">(22) On December 31, 2024, AMI submitted allegations regarding the updated proposals of commitments from GOOGLE dated July 15 and August 2, 202431.  </w:t>
        <w:br/>
        <w:t xml:space="preserve">(23) On January 21, 2025, CEDRO submitted allegations regarding the updated proposals of commitments from GOOGLE dated July 15 and August 2, 202432.  </w:t>
        <w:br/>
        <w:t xml:space="preserve">(24) On March 19, 2025, GOOGLE submitted a new updated proposal of commitments in replacement of the one submitted on August 2, 202433.  </w:t>
        <w:br/>
        <w:t xml:space="preserve">(25) On May 5, 2025, AEEPP submitted allegations regarding the updated proposal of commitments from GOOGLE dated March 19, 202534.  </w:t>
        <w:br/>
        <w:t xml:space="preserve">(26) On September 2, 2025, the DC agreed to initiate a reserved information under reference S/0009/25 in order to preliminarily determine the concurrence of circumstances that justified the initiation of sanctioning proceedings, in accordance with the provisions of Article 49.2 of the LDC; as well as the incorporation into the aforementioned procedure of the documentation contained in file S/0013/22 from which, in accordance with the provisions of Article 30 of the RDC, testimony was deduced on August 14, 202535.  </w:t>
        <w:br/>
        <w:t xml:space="preserve">(27) On September 4, 2025, the Competition Directorate, in application of the provisions of Article 49.3 of the LDC, issued a proposal not to initiate sanctioning proceedings and to archive the actions, considering that the reported facts excluded from file S/0013/22 did not show indications of infringement of the LDC.  </w:t>
        <w:br/>
        <w:t xml:space="preserve">(28) In accordance with the provisions of Article 27 of the Competition Defense Regulation, approved by Royal Decree 261/2008, of February 22 (RDC), also on September 4, 2025, the Competition Directorate raised to the Competition Chamber of the CNMC Council its proposal for archiving.  </w:t>
        <w:br/>
        <w:t xml:space="preserve">(29) This Chamber has deliberated and agreed on this resolution in a session on December 17, 2025.  </w:t>
        <w:br/>
        <w:t xml:space="preserve">31 Folios 6634 a 6669.  </w:t>
        <w:br/>
        <w:t xml:space="preserve">32 Folios 6679 a 6686.  </w:t>
        <w:br/>
        <w:t xml:space="preserve">33 Folios 6689 a 6704.  </w:t>
        <w:br/>
        <w:t xml:space="preserve">34 Folios 6737 a 6739.  </w:t>
        <w:br/>
        <w:t xml:space="preserve">35 Folios 1 a 10.  </w:t>
        <w:br/>
        <w:t xml:space="preserve">Comisión Nacional de los Mercados y la Competencia 8 de 30  </w:t>
        <w:br/>
        <w:t xml:space="preserve">C/ Alcalá, 47 – 28014 Madrid - C/ Bolivia, 56 – 08018 Barcelona  </w:t>
        <w:br/>
        <w:t>www.cnmc.es</w:t>
      </w:r>
    </w:p>
    <w:p>
      <w:r>
        <w:t xml:space="preserve">S/0009/25  </w:t>
        <w:br/>
        <w:t xml:space="preserve">GOOGLE AMP AND PROGRAMMATIC ADVERTISING  </w:t>
        <w:br/>
        <w:t xml:space="preserve">2. THE PARTIES  </w:t>
        <w:br/>
        <w:t xml:space="preserve">2.1. Accused: GOOGLE  </w:t>
        <w:br/>
        <w:t xml:space="preserve">2.1.1. General description  </w:t>
        <w:br/>
        <w:t xml:space="preserve">(30) On March 28, 2023, the Competition Directorate initiated sanctioning proceedings against the following 4 companies belonging to the same business group:  </w:t>
        <w:br/>
        <w:t xml:space="preserve">- Google Spain, S.L., which is a Spanish subsidiary of Google LLC and Alphabet Inc., whose activity consists of “the promotion and marketing of online advertising services provided by other Google entities”36.  </w:t>
        <w:br/>
        <w:t xml:space="preserve">- Google Ireland Ltd. is a company incorporated in Ireland, a subsidiary of the American multinationals Google LLC and Alphabet Inc., specialized in products and services related to the Internet, software, electronic devices, and other technologies37.  </w:t>
        <w:br/>
        <w:t xml:space="preserve">- Google LLC is a U.S. subsidiary of Alphabet Inc., which in turn is the parent company of Google Spain, S.L. and Google Ireland Ltd38.  </w:t>
        <w:br/>
        <w:t xml:space="preserve">- Alphabet Inc. is a holding company that is the parent of Google Spain, S.L., Google Ireland Ltd., and Google LLC, among others39.  </w:t>
        <w:br/>
        <w:t xml:space="preserve">(31) Throughout this resolution, these 4 companies will be referred to collectively as the company GOOGLE.  </w:t>
        <w:br/>
        <w:t xml:space="preserve">2.1.2. Business model  </w:t>
        <w:br/>
        <w:t xml:space="preserve">(32) One of the main services provided by GOOGLE is to facilitate the search for content on the internet through its own search engine: Google Search. However, GOOGLE also offers other products and services such as, among others, (i) online advertising services (such as Google Ads), (ii) cloud computing, (iii) application development, and (iv) operating systems for mobile devices and manufacturing of connected devices.  </w:t>
        <w:br/>
        <w:t xml:space="preserve">36 Folios 5039 a 5040.  </w:t>
        <w:br/>
        <w:t xml:space="preserve">37 Folio 5040.  </w:t>
        <w:br/>
        <w:t xml:space="preserve">38 Folio 5040.  </w:t>
        <w:br/>
        <w:t xml:space="preserve">39 Folio 4793 of the confidential version and 5040 of the non-confidential version.  </w:t>
        <w:br/>
        <w:t xml:space="preserve">Comisión Nacional de los Mercados y la Competencia 9 de 30  </w:t>
        <w:br/>
        <w:t xml:space="preserve">C/ Alcalá, 47 – 28014 Madrid - C/ Bolivia, 56 – 08018 Barcelona  </w:t>
        <w:br/>
        <w:t>www.cnmc.es</w:t>
      </w:r>
    </w:p>
    <w:p>
      <w:r>
        <w:rPr>
          <w:b/>
        </w:rPr>
        <w:t>[Pages 10–12]</w:t>
      </w:r>
    </w:p>
    <w:p>
      <w:r>
        <w:t xml:space="preserve">S/0009/25  </w:t>
        <w:br/>
        <w:t xml:space="preserve">GOOGLE AMP AND PROGRAMMATIC ADVERTISING  </w:t>
        <w:br/>
        <w:t xml:space="preserve">(33) Regarding press publications, the relevant services provided by GOOGLE would consist of the following:  </w:t>
        <w:br/>
        <w:t xml:space="preserve">i. Press publications in Google Search: Google Search consists of a search engine that provides users with search results in the form of, among others, lists of links and panels, which can be accessed through web browsers or mobile applications40. It is not a news service, but its search results can link to content from press publications and find the latest articles, stories, and headlines from sources around the world. It only crawls news sites and revisits them several times a day.  </w:t>
        <w:br/>
        <w:t xml:space="preserve">ii. Google News: an automated news aggregator and search engine that constantly crawls information from major online communication websites. Google News displays news and trends from the last hours and, at most, days.  </w:t>
        <w:br/>
        <w:t xml:space="preserve">iii. Google Discover: a social version of Google, consisting of a news content feed tailored to the user's tastes, previous searches, and interests. In Google Discover, in addition to content from recent days, it is possible to see results from older articles.  </w:t>
        <w:br/>
        <w:t xml:space="preserve">iv. Google News Showcase (“GNS”): this product is an extension of Google Discover and Google News that integrates into them offering broader and customizable news “cards” (more information about this service is provided in section ¡Error! No se encuentra el origen de la referencia.).  </w:t>
        <w:br/>
        <w:t xml:space="preserve">(34) GOOGLE's main source of income is online advertising, representing more than 75% of its total revenues for 2024 as stated by the company itself in its annual report for 202441.  </w:t>
        <w:br/>
        <w:t xml:space="preserve">2.2. Complainant: Spanish Center for Reprographic Rights (CEDRO)  </w:t>
        <w:br/>
        <w:t xml:space="preserve">(35) CEDRO is the management entity for intellectual property rights of authors and publishers of literary, scientific, technical, educational, informational, and dissemination works, and, in particular, of authors and publishers of articles from periodical publications. This management extends to the exclusive rights of reproduction, distribution, public communication, and transformation, as well as to any remuneration rights arising from uses under legal license. CEDRO was authorized to operate as a management entity by Order of the Ministry of Culture dated June 30, 1988.  </w:t>
        <w:br/>
        <w:t xml:space="preserve">(36) Since CEDRO is the only authorized management entity for the management of the aforementioned rights, it was the entity authorized to manage the equitable compensation provided for by Article 32.2 of Royal Legislative Decree 1/1996, of April 12, which approves the consolidated text of the Intellectual Property Law, regularizing, clarifying, and harmonizing the current legal provisions on the matter (hereinafter, the “TRLPI”) between January 1, 2015, and November 3, 2021; an article and compensation that are currently no longer in force due to the amendment of the TRLPI introduced in this regard on November 4, 202142.  </w:t>
        <w:br/>
        <w:t xml:space="preserve">2.3. Other interested parties  </w:t>
        <w:br/>
        <w:t xml:space="preserve">2.3.1. Association of Information Media (“AMI”)  </w:t>
        <w:br/>
        <w:t xml:space="preserve">(37) AMI is an entity established in 1978 that, according to its website43, “[c]urrently includes 26 editorial groups of national and regional information media, economic and sports” in Spain, among whose purposes, outlined in Article 2 of its association statutes, are: (i) “[t]he defense, with full respect for the Spanish Constitution, of the independence of information media against all types of pressures and powers”; (ii) “[t]he defense of the value of information generated by information media, regardless of the medium in which the information is made available to the public”; and (iii) “[t]he promotion of respect for the intellectual property rights of information media and their receipt of adequate remuneration”44.  </w:t>
        <w:br/>
        <w:t xml:space="preserve">42 Simultaneously, a new related right for press publishers was introduced (art. 129 bis). (See section ¡Error! No se encuentra el origen de la referencia..).  </w:t>
        <w:br/>
        <w:t xml:space="preserve">43 https://www.ami.info/que-es-ami#asociados  </w:t>
        <w:br/>
        <w:t xml:space="preserve">44 Folios 4855 to 4856.  </w:t>
        <w:br/>
        <w:t xml:space="preserve">Comisión Nacional de los Mercados y la Competencia 11 de 30  </w:t>
        <w:br/>
        <w:t xml:space="preserve">C/ Alcalá, 47 – 28014 Madrid - C/ Bolivia, 56 – 08018 Barcelona  </w:t>
        <w:br/>
        <w:t>www.cnmc.es</w:t>
      </w:r>
    </w:p>
    <w:p>
      <w:r>
        <w:t xml:space="preserve">S/0009/25  </w:t>
        <w:br/>
        <w:t xml:space="preserve">GOOGLE AMP AND PROGRAMMATIC ADVERTISING  </w:t>
        <w:br/>
        <w:t xml:space="preserve">2.3.2. Spanish Association of Periodical Publications Publishers (“AEEPP”)  </w:t>
        <w:br/>
        <w:t xml:space="preserve">(38) AEEPP is an entity that “[c]ounts with more than 180 associated publishers, and represents nearly 1000 own and third-party titles”; “is a founding member of the European media association ‘European Innovative Media Publisher’ (EIMP), whose objective is to promote a regulatory environment that fosters a diverse, competitive, and innovative media publishing sector”; and “is the only media association in Spain affiliated with the business organizations Spanish Confederation of Business Organizations (CEOE) and Spanish Confederation of Small and Medium Enterprises (CEPYME)”. In accordance with its statutes, the AEEPP “has as its purpose, among others, the defense of the common professional, economic, and business interests of its members before administrations, public and private entities, and international organizations”.  </w:t>
        <w:br/>
        <w:t xml:space="preserve">3. REFERENCE MARKETS  </w:t>
        <w:br/>
        <w:t xml:space="preserve">(39) In this case, the conduct of GOOGLE regarding the publishers of press publications and Spanish news agencies is analyzed in relation to the conditions for access to the content of press publications through GOOGLE's services and the provision of advertising services by GOOGLE. Therefore, it is necessary to analyze the markets in which GOOGLE and the publishers of press publications and Spanish news agencies operate.  </w:t>
        <w:br/>
        <w:t xml:space="preserve">3.1. Provision of general internet search services  </w:t>
        <w:br/>
        <w:t xml:space="preserve">3.1.1. Product market  </w:t>
        <w:br/>
        <w:t>(40) An internet search engine or “search engine” is a tool designed to search for information on the internet. It consists of a search box in which queries can be written, the results of which are generally presented in an ordered list of results. The information may consist of text (including news), maps, images, videos, or other types of content. Search engines like Google Search or Microsoft Bing use algorithms to index web pages according to certain criteria and parameters in order to</w:t>
      </w:r>
    </w:p>
    <w:p>
      <w:r>
        <w:rPr>
          <w:b/>
        </w:rPr>
        <w:t>[Pages 13–15]</w:t>
      </w:r>
    </w:p>
    <w:p>
      <w:r>
        <w:t xml:space="preserve">S/0009/25  </w:t>
        <w:br/>
        <w:t xml:space="preserve">GOOGLE AMP AND PROGRAMMATIC ADVERTISING  </w:t>
        <w:br/>
        <w:t xml:space="preserve">to optimize the search for relevant information within the World Wide Web.  </w:t>
        <w:br/>
        <w:t xml:space="preserve">(41) Currently, there are different companies providing general internet search services. Some of them use their own search engine, while others have reached agreements with the former to use their engines to display search results.  </w:t>
        <w:br/>
        <w:t xml:space="preserve">(42) Given the proliferation of web pages, search engines have become an indispensable tool for internet users. Their funding occurs through so-called online advertising linked to internet search, consisting of small text ads that appear alongside search results when the user searches the internet using one of the keywords that trigger the ad. By clicking on the ad, the advertiser's webpage opens.  </w:t>
        <w:br/>
        <w:t xml:space="preserve">(43) In its decisions, the European Commission (“EC”) has concluded that the provision of general internet search services constitutes a product market in itself46 due to the very limited substitutability from the demand side of the alternative means that users employ to explore the internet:  </w:t>
        <w:br/>
        <w:t xml:space="preserve">- General search services have limited substitutability with content websites because the former allow for quick searches of content across the entire web, while the latter only allow for searches of content on their own website.  </w:t>
        <w:br/>
        <w:t xml:space="preserve">- General search services have limited substitutability with specialized search services due to various factors, such as their different degree of specialization (since the former provide general content and the latter only a certain category of content with commercial interest), their different monetization methods (since the former are automatically fed by searches on websites and are funded by advertising, while the latter are fed and funded by promoted content, although they may also have advertising), their different functionalities (such as the ability to filter results in specialized search services), and their non-substitutive but complementary nature (since many consumers reach specialized search services from an initial query in general search services).  </w:t>
        <w:br/>
        <w:t xml:space="preserve">- General search services have limited substitutability with social networks among other factors due to their different functionalities, as the former are limited to finding content that users are specifically searching for, while the latter include the offering of content based on users' interests in addition to the possibility of establishing contacts with other users.  </w:t>
        <w:br/>
        <w:t xml:space="preserve">(44) Community precedents also highlight the low substitutability from the supply side, for example, due to the need for specific investments in the design of algorithms for the operation of search engines.  </w:t>
        <w:br/>
        <w:t xml:space="preserve">(45) The Chamber considers, as does the DC, that for the purposes of this file, it is not necessary to reach a specific conclusion on the exact delimitation of the product market nor on the possibility of analyzing the eventual existence of a separate market for specialized news search47.  </w:t>
        <w:br/>
        <w:t xml:space="preserve">3.1.2. Geographic market  </w:t>
        <w:br/>
        <w:t xml:space="preserve">(46) In its investigations on this matter, the EC has considered that the provision of general internet search services has a national scope48. Although search services are accessible from any location, the EC concluded that it was a national market for various reasons. First, due to the existence of specific websites in the local language (this is also the case in Spain); and (ii) secondly, due to the existence of barriers to the extension (also in terms of cost) of search technology beyond national markets, which would explain why smaller search engines in the EEA primarily use their search technology in their country and in their language.  </w:t>
        <w:br/>
        <w:t xml:space="preserve">(47) This Chamber, like the DC, considers that for the purposes of this file, it is not necessary to reach a specific conclusion on the exact delimitation of the geographic market.  </w:t>
        <w:br/>
        <w:t xml:space="preserve">47 None of the identified precedents defines this narrow market.  </w:t>
        <w:br/>
        <w:t xml:space="preserve">48 European Commission Decision of June 27, 2017 in case AT.39740 Google Search (Shopping), paragraphs 252 to 255 (confirmed regarding the market definition by the General Court Judgment of November 10, 2021, Google Shopping, T-612/17, ECLI:EU:T:2021:763); and European Commission Decision of July 18, 2018 in case AT.40099 Google Android, paragraphs 422 to 425 (confirmed regarding the market definition by the General Court Judgment of September 14, 2022, Google Android, T-604/18, ECLI:EU:T:2022:541).  </w:t>
        <w:br/>
        <w:t xml:space="preserve">S/0009/25  </w:t>
        <w:br/>
        <w:t xml:space="preserve">GOOGLE AMP AND PROGRAMMATIC ADVERTISING  </w:t>
        <w:br/>
        <w:t xml:space="preserve">3.2. Publishing and marketing of press publications  </w:t>
        <w:br/>
        <w:t xml:space="preserve">3.2.1. Product market  </w:t>
        <w:br/>
        <w:t xml:space="preserve">(48) The CNMC49 has distinguished the markets of publishing and marketing of publications (leaving open whether print and digital press constitute separate markets and the possibility of distinguishing based on the type of publication) from the markets for selling advertising space in them. Generally, publishers of periodical publications, in addition to operating in the publishing and sales market, where the demander is the buyer of the publications, operate in the advertising space market, where the demander is the company or agency that buys space in the publications to promote the sale of goods or services50. In any case, the Chamber, like the DC, considers that for the purposes of this file, it is not necessary to reach a specific conclusion on the exact delimitation of the product market.  </w:t>
        <w:br/>
        <w:t xml:space="preserve">3.2.2. Geographic market  </w:t>
        <w:br/>
        <w:t xml:space="preserve">(49) The cited precedents have considered that the dimension of the markets related to press publishing would generally be local or regional. This is explained by linguistic factors, cultural differences, or the need for media groups to respond to information demands of a national or local nature. Additionally, this differentiation would respond to factors such as the geographic scope of publishing and dissemination, the content of the information offered and its origin, the price, the profile of advertisers, and public service information51. However, regarding digital editions, these are considered to have a national scope, as these services compete with the entire set of online news services in Spain and because, as will be explained below, the online advertising space market itself is also national. In any case, the Chamber, like the DC, considers that for the purposes of this file, it is not necessary to reach a specific conclusion on the exact delimitation of the geographic market.  </w:t>
        <w:br/>
        <w:t xml:space="preserve">49 CNMC Resolution of May 5, 2016 (File C/0734/16: HERALDO/PEASA).  </w:t>
        <w:br/>
        <w:t xml:space="preserve">50 CNMC Resolution of March 1, 2007 (File N/07021: UNEDISA / RECOLETOS).  </w:t>
        <w:br/>
        <w:t>51 CNMC Resolution of May 9, 2019 (File C/1027/19: PRENSA IBÉRICA/GRUPO ZETA), paragraph 47.</w:t>
      </w:r>
    </w:p>
    <w:p>
      <w:r>
        <w:rPr>
          <w:b/>
        </w:rPr>
        <w:t>[Pages 16–18]</w:t>
      </w:r>
    </w:p>
    <w:p>
      <w:r>
        <w:t xml:space="preserve">S/0009/25  </w:t>
        <w:br/>
        <w:t xml:space="preserve">GOOGLE AMP AND PROGRAMMATIC ADVERTISING  </w:t>
        <w:br/>
        <w:t xml:space="preserve">3.3. Sale of online advertising spaces  </w:t>
        <w:br/>
        <w:t xml:space="preserve">3.3.1. Product market  </w:t>
        <w:br/>
        <w:t xml:space="preserve">(50) Several precedents have defined separate markets for the sale of advertising spaces in different media (radio, television, print media, or internet) because each medium serves different functions from the advertiser's perspective, targets a different audience, and varies in price52, separating the market for the sale of online advertising spaces or on the internet as a segment that encompasses not only digital periodical publications but any type of advertising spaces contained in pages or websites accessible from the internet53.  </w:t>
        <w:br/>
        <w:t xml:space="preserve">(51) The online advertising market has been analyzed by the CNMC in previous cases54, as well as within the framework of its function to promote competition55. In this same sense, in the recent cases M.9660 GOOGLE/FITBIT56 and AT.40411 GOOGLE ADSENSE57, the EC maintained the need to define the services for the sale of online advertising spaces as separate markets from those offline, fundamentally because they are used for different purposes (creating brand awareness in the case of offline advertising), require different types of responses (which can be immediate in the case of online advertising), and allow for different audience adaptations and varying degrees of impact monitoring (greater in the case of online advertising). Within online advertising, the EC also distinguished based on whether it is associated with searches or not, as search-associated advertising, by matching specific searches with the most relevant ads, can only appear alongside the results of a search engine. GOOGLE, with its search engine, offers its services in the first of these markets (search-associated advertising) and press publishers in the second (non-search-associated advertising); a market in which GOOGLE would also participate by marketing its own inventory on the YouTube platform58 or in the Google Discover service59.  </w:t>
        <w:br/>
        <w:t xml:space="preserve">(52) The Chamber, in agreement with the DC, considers that it is not necessary in this case to pronounce on the exact definition of the market as it does not alter the conclusions of the analysis.  </w:t>
        <w:br/>
        <w:t xml:space="preserve">3.3.2. Geographic market  </w:t>
        <w:br/>
        <w:t xml:space="preserve">(53) The cited precedents consider the markets for supplying spaces for online advertising to be national, as the buying and selling of advertising spaces is usually carried out at the national level due to national preferences, linguistic and cultural specificities, and the existence of support and sales networks at the national level. The Chamber agrees with the DC, which considers that it is not necessary in this case to pronounce on the exact definition of the market as it does not alter the conclusions of the analysis.  </w:t>
        <w:br/>
        <w:t xml:space="preserve">58 Study on the conditions of competition in the online advertising sector in Spain dated July 7, 2021 (E/CNMC/002/2019), pages 85, 108, and 155.  </w:t>
        <w:br/>
        <w:t xml:space="preserve">59 Confidential folio 5531; folios 6273 and 6274 reproducing the webpage https://support.google.com/google-ads/answer/6341296?hl=es: “About discovery and display campaign ads […] Discovery ads allow you to reach users who are interested in discovering your brand and interacting with it. Discovery ads automatically appear in the feeds of the Home and Watch Next pages on YouTube, in Discover, and in the Promotions and Social tabs of Gmail with a single campaign” [emphasis added] and folios 6275 to 6281 reproducing the webpage https://support.google.com/google-ads/answer/13695777?hl=es: “About Demand Generation campaigns […] Demand generation campaigns, which track interactions and actions on YouTube, including Shorts, Discover, and Gmail, are ideal for social media advertisers who want to run engaging, multi-format ads on Google’s most impactful surfaces available to all advertisers” [emphasis added].  </w:t>
        <w:br/>
        <w:t xml:space="preserve">S/0009/25  </w:t>
        <w:br/>
        <w:t xml:space="preserve">GOOGLE AMP AND PROGRAMMATIC ADVERTISING  </w:t>
        <w:br/>
        <w:t xml:space="preserve">3.4. Provision of intermediation services in online advertising  </w:t>
        <w:br/>
        <w:t xml:space="preserve">3.4.1. Product market  </w:t>
        <w:br/>
        <w:t xml:space="preserve">(54) The EC60 has considered different intermediation services (ad tech) for online advertising: a) provision of search advertising network services, b) supply-side platform (SSP) aggregation platforms for display advertising, c) demand-side platform (DSP) aggregation platforms for display advertising, d) provision of display advertising network services, e) servers for publishers in display, f) servers for advertisers in display, and g) analytics services. The CNMC has also analyzed these intermediaries in its work to promote competition61.  </w:t>
        <w:br/>
        <w:t xml:space="preserve">(55) The Chamber agrees with the DC and considers that it is not necessary in this case to pronounce on the exact definition of the market as it does not alter the conclusions of the analysis.  </w:t>
        <w:br/>
        <w:t xml:space="preserve">3.4.2. Geographic market  </w:t>
        <w:br/>
        <w:t xml:space="preserve">(56) Intermediation in online advertising is considered to be within the scope of the EEA as local presence62 is not necessary and market operators can adapt their services based on the linguistic and cultural specificities of the EU member state or the client, with these specificities playing a lesser role than in online advertising itself.  </w:t>
        <w:br/>
        <w:t xml:space="preserve">(57) The Chamber, in line with the DC, considers that it is not necessary in this case to pronounce on the exact definition of the market as it does not alter the conclusions of the analysis.  </w:t>
        <w:br/>
        <w:t xml:space="preserve">60 Decision of the EC of December 17, 2020 in case M.9660 GOOGLE/FITBIT, paragraphs 161 and following.  </w:t>
        <w:br/>
        <w:t xml:space="preserve">61 Study on the conditions of competition in the online advertising sector in Spain dated July 7, 2021 (E/CNMC/002/2019), pages 44 to 48.  </w:t>
        <w:br/>
        <w:t xml:space="preserve">62 Decision of the EC of December 17, 2020 in case M.9660 GOOGLE/FITBIT, paragraphs 172 and 173; Decision of the EC of March 20, 2019 in case AT. 40411 GOOGLE ADSENSE, paragraphs 218 to 220.  </w:t>
        <w:br/>
        <w:t xml:space="preserve">Comisión Nacional de los Mercados y la Competencia 18 de 30  </w:t>
        <w:br/>
        <w:t xml:space="preserve">C/ Alcalá, 47 – 28014 Madrid - C/ Bolivia, 56 – 08018 Barcelona  </w:t>
        <w:br/>
        <w:t>www.cnmc.es</w:t>
      </w:r>
    </w:p>
    <w:p>
      <w:r>
        <w:rPr>
          <w:b/>
        </w:rPr>
        <w:t>[Pages 19–21]</w:t>
      </w:r>
    </w:p>
    <w:p>
      <w:r>
        <w:t xml:space="preserve">S/0009/25  </w:t>
        <w:br/>
        <w:t xml:space="preserve">GOOGLE AMP AND PROGRAMMATIC ADVERTISING  </w:t>
        <w:br/>
        <w:t xml:space="preserve">3.5. Granting of authorizations for the exploitation of press publications  </w:t>
        <w:br/>
        <w:t xml:space="preserve">3.5.1. Product market  </w:t>
        <w:br/>
        <w:t xml:space="preserve">(58) In relation to the granting of authorizations for the exploitation of works protected by intellectual property rights, national precedents63 have been defining specific product markets for each specific intellectual property right. In these markets, the demanders are the economic operators who use these protected works in their activity (such as bars that play music or hotels that provide television sets to their guests for viewing audiovisual works and recordings), and the suppliers are either the rights holders or the management entities of intellectual property rights (whether voluntary or mandatory) and independent management operators.  </w:t>
        <w:br/>
        <w:t xml:space="preserve">(59) In the present case, the regulations determine that, for the reproduction and making available of texts or fragments of texts from press publications subject to related intellectual property rights, electronic content aggregation service providers will generally need authorization from the press publication publishers and news agencies.  </w:t>
        <w:br/>
        <w:t xml:space="preserve">(60) Although no precedents have been identified that define markets for granting authorizations for the exploitation of content protected by these specific intellectual property rights64, the CNMC has defined a market for intellectual property rights over news for the preparation of press summaries under the regulatory regime prior to the one currently in force65. In that precedent, it was concluded: “The articles contained in a collective work (such as a newspaper or magazine), as long as they are used by press clipping companies for commercial purposes, are capable of generating a market for intellectual property rights over news for the preparation of periodic press summaries.”  </w:t>
        <w:br/>
        <w:t xml:space="preserve">(61) In any case, the principles underlying the aforementioned precedents regarding intellectual property rights licensing in general may apply. In this sense, a separate market can be considered for each of the different types of protected works or services, given the absence of substitutability from the demand side among the rights corresponding to the different types of works. In downstream markets, for the demanders of authorizations to use rights, the different types of works are not substitutable. For example, an electronic content aggregation service provider finds the rights corresponding to printed works particularly relevant, but that company will generally not demand rights corresponding to another class of works such as, for example, cinematographic or audiovisual works, sculptures, or others listed in Article 10 of the TRLPI.  </w:t>
        <w:br/>
        <w:t xml:space="preserve">(62) There is also no substitutability from the supply side. The creative action of authors or rights holders is linked to the talent of each author (writers, composers, sculptors, painters, photographers, etc.), so that, in general, authors are specialized in creating a different type of work. Even within the same category of activity, there can be a high degree of specialization, for example, among book writers, screenwriters, or news editors.  </w:t>
        <w:br/>
        <w:t xml:space="preserve">(63) In accordance with all of the above, the management of intellectual property rights corresponding to the different types of protected works will generally correspond to differentiated markets.  </w:t>
        <w:br/>
        <w:t xml:space="preserve">(64) Consequently, a market could be defined in which the demanders for the granting of authorization for the exploitation of these rights would be the electronic content aggregation service providers, such as GOOGLE or other general internet search service providers, while the suppliers would be the press publication publishers and news agencies that hold these rights or, where applicable, the collective management entities that represent them, without prejudice to the fact that it is not necessary in this file to pronounce on the exact definition of the market as long as it does not alter the conclusions of the analysis.  </w:t>
        <w:br/>
        <w:t xml:space="preserve">S/0009/25  </w:t>
        <w:br/>
        <w:t xml:space="preserve">GOOGLE AMP AND PROGRAMMATIC ADVERTISING  </w:t>
        <w:br/>
        <w:t xml:space="preserve">3.5.2. Geographic market  </w:t>
        <w:br/>
        <w:t xml:space="preserve">(65) The possible market for granting authorizations for the exploitation of press publications would be, according to the aforementioned precedents and the circumstances analyzed in this case, of a national scope in light of the differences in the applicable regimes. Beyond the recognition of an intellectual property right over press publications throughout the European Union under Directive 2019/790, the different transposition of this right into national law by the Member States has resulted in differences in the applicable legal regimes; differences that may lead to significant discrepancies in the management of these rights between countries that currently justify the consideration of national markets.  </w:t>
        <w:br/>
        <w:t xml:space="preserve">(66) Likewise, from the supply side, the granting of the authorization provided for in Article 129 bis of the TRLPI corresponds to the press publication publishers, news agencies, and collective management entities established in Spanish territory, understood as those that have their official headquarters, central administration, or main center of activities in Spain66. On the other hand, from the demand perspective, GOOGLE itself has considered these markets as national when negotiating the various authorizations country by country67.  </w:t>
        <w:br/>
        <w:t xml:space="preserve">(67) In any case, it is not necessary in this file to pronounce on the exact definition of the market as long as it does not alter the conclusions of the analysis.  </w:t>
        <w:br/>
        <w:t xml:space="preserve">4. FACTS  </w:t>
        <w:br/>
        <w:t xml:space="preserve">(68) As indicated in the background, CEDRO highlighted certain practices carried out by GOOGLE in the Spanish market that could constitute a violation of Article 2 LDC, as well as Article 102 TFEU: the imposition on press publishers of inequitable and discriminatory access conditions for the use of their press publications and the abuse of its dominant position in the online advertising market and in the provision of advertising intermediation services to press publishers.  </w:t>
        <w:br/>
        <w:t xml:space="preserve">66 In accordance with paragraph 55 of the explanatory memorandum of Directive 2019/790 in relation to Article 129 bis.1 of the TRLPI.  </w:t>
        <w:br/>
        <w:t>67 In this regard, the compartmentalization of the markets into national areas carried out by GOOGLE itself can be verified in confidential pages 5535 to 5540.</w:t>
      </w:r>
    </w:p>
    <w:p>
      <w:r>
        <w:rPr>
          <w:b/>
        </w:rPr>
        <w:t>[Pages 22–24]</w:t>
      </w:r>
    </w:p>
    <w:p>
      <w:r>
        <w:t xml:space="preserve">S/0009/25  </w:t>
        <w:br/>
        <w:t xml:space="preserve">GOOGLE AMP AND PROGRAMMATIC ADVERTISING  </w:t>
        <w:br/>
        <w:t xml:space="preserve">4.1. Agreements signed by GOOGLE with Spanish press publication publishers and news agencies  </w:t>
        <w:br/>
        <w:t xml:space="preserve">(69) GOOGLE has provided information on the terms and conditions of the various agreements signed with Spanish press publication publishers and news agencies as of May 29, 202368. These contracts are the agreements for the launch in Spain of its Google News Showcase service (hereinafter, the “GNS Agreements”) and the agreements for the granting of licenses on press publications or Extended News Previews (hereinafter, the “ENP Agreements”).  </w:t>
        <w:br/>
        <w:t xml:space="preserve">(70) As part of the GNS Agreements, publishers receive a fixed monthly fee for the publication of their articles in Google News Showcase and, in some cases, for providing access to articles behind their paywall, so that GOOGLE also pays publishers to offer readers access to a limited amount of paid content69.  </w:t>
        <w:br/>
        <w:t xml:space="preserve">(71) According to GOOGLE's response of March 15, 2022, regarding the remuneration of these agreements, [CONFIDENTIAL except for GOOGLE]70  </w:t>
        <w:br/>
        <w:t xml:space="preserve">(72) Regarding the remuneration of the ENP Agreements, GOOGLE states the following:  </w:t>
        <w:br/>
        <w:t xml:space="preserve">[CONFIDENTIAL except for GOOGLE]71  </w:t>
        <w:br/>
        <w:t xml:space="preserve">4.2. The AMP content publication format72  </w:t>
        <w:br/>
        <w:t xml:space="preserve">(73) GOOGLE states that “Google Ad Manager does not favor websites that use AMP over those that do not use AMP,” although it clarifies that the format “currently does not support all the features available in Google Ad Manager”73.  </w:t>
        <w:br/>
        <w:t xml:space="preserve">68 Confidential pages 5345 to 5377.  </w:t>
        <w:br/>
        <w:t xml:space="preserve">69 Confidential page 246 and non-confidential page 329.  </w:t>
        <w:br/>
        <w:t xml:space="preserve">70 CONFIDENTIAL except for GOOGLE.  </w:t>
        <w:br/>
        <w:t xml:space="preserve">71 CONFIDENTIAL except for GOOGLE.  </w:t>
        <w:br/>
        <w:t xml:space="preserve">72 AMP (for its acronym in English, accelerated mobile pages) is an open-source publishing format that allows pages to load faster by being downloaded in Google's cache as it lacks third-party scripts (including Java). It emerged in 2015, initially conceived and managed by GOOGLE, although since June 2020 it has been fully managed by a foundation. It is used in the HTML pages created and hosted by publishers and content creators.  </w:t>
        <w:br/>
        <w:t xml:space="preserve">73 Page 354.  </w:t>
        <w:br/>
        <w:t xml:space="preserve">Comisión Nacional de los Mercados y la Competencia 22 of 30  </w:t>
        <w:br/>
        <w:t xml:space="preserve">C/ Alcalá, 47 – 28014 Madrid - C/ Bolivia, 56 – 08018 Barcelona  </w:t>
        <w:br/>
        <w:t>www.cnmc.es</w:t>
      </w:r>
    </w:p>
    <w:p>
      <w:r>
        <w:t xml:space="preserve">S/0009/25  </w:t>
        <w:br/>
        <w:t xml:space="preserve">GOOGLE AMP AND PROGRAMMATIC ADVERTISING  </w:t>
        <w:br/>
        <w:t xml:space="preserve">(74) Regarding the alleged imposition of the AMP format for the content of publishers to appear in GOOGLE services, GOOGLE assures that the AMP format is not an eligibility requirement to appear in the featured news carousel in Google Search since August 2021 and that for editorial content to appear in Google Search, Google News, Google Discover, and Google News Showcase, it is not necessary to use the AMP format74.  </w:t>
        <w:br/>
        <w:t xml:space="preserve">(75) Likewise, it can be ruled out that the use of the AMP format is a factor in the ranking of results offered by Google Search, Google News, Google Discover, and Google News Showcase, as GOOGLE confirms that “[c]ontent does not receive any advantage in the ranking of results […] simply because it is AMP” and that “[c]ontent is not penalized […] for not being AMP.”  </w:t>
        <w:br/>
        <w:t xml:space="preserve">(76) It would also no longer influence the way search results are presented, as although AMP results in mobile search used to be identified with an icon featuring a lightning bolt, GOOGLE announced in April 2021 that it “[would] stop showing the AMP icon to mark this type of content,” which is no longer displayed in Google Search or Google News Showcase. GOOGLE anticipates that this change will extend to other products as the “introduction of page experience” update is rolled out75.  </w:t>
        <w:br/>
        <w:t xml:space="preserve">(77) Regarding the data that publishers can access when using the AMP format, GOOGLE assures that “[i]n most cases […] the data that publishers can collect on pages that use the AMP format is substantially the same as that which they can collect on pages that do not use the AMP format, or the publisher could obtain similar results through extensions to support new functionalities via the amp-analytics platform.” The user information accessed by publishers consists of: (i) which of their publications have been viewed; and (ii) the non-proprietary performance indicators that Google collects76.  </w:t>
        <w:br/>
        <w:t xml:space="preserve">(78) The AMP cache does not expose the data of a user's request to a content publisher unless the user expresses their intention to visit the publisher's website, preserving user privacy. This information is shared immediately with the publisher at the moment the user expresses their intention to navigate to that page77.  </w:t>
        <w:br/>
        <w:t xml:space="preserve">74 Page 349.  </w:t>
        <w:br/>
        <w:t xml:space="preserve">75 Page 350.  </w:t>
        <w:br/>
        <w:t xml:space="preserve">76 Page 354.  </w:t>
        <w:br/>
        <w:t xml:space="preserve">77 Page 354.  </w:t>
        <w:br/>
        <w:t xml:space="preserve">Comisión Nacional de los Mercados y la Competencia 23 of 30  </w:t>
        <w:br/>
        <w:t xml:space="preserve">C/ Alcalá, 47 – 28014 Madrid - C/ Bolivia, 56 – 08018 Barcelona  </w:t>
        <w:br/>
        <w:t>www.cnmc.es</w:t>
      </w:r>
    </w:p>
    <w:p>
      <w:r>
        <w:t xml:space="preserve">S/0009/25  </w:t>
        <w:br/>
        <w:t xml:space="preserve">GOOGLE AMP AND PROGRAMMATIC ADVERTISING  </w:t>
        <w:br/>
        <w:t xml:space="preserve">(79) Regarding the compatibility of the AMP format with header bidding systems, GOOGLE assures that the AMP format has been compatible with header bidding systems since 2017, through an implementation called Real Time Configuration (RTC) and allows for additional bidding in ad auctions78.  </w:t>
        <w:br/>
        <w:t xml:space="preserve">5. LEGAL GROUNDS  </w:t>
        <w:br/>
        <w:t xml:space="preserve">5.1. Competence to resolve  </w:t>
        <w:br/>
        <w:t xml:space="preserve">(80) According to Article 5.1.c) of the Law creating the CNMC, this Agency is responsible for “applying the provisions of Law 15/2007, of July 3, regarding conduct that prevents, restricts, and distorts competition”79.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3”80.  </w:t>
        <w:br/>
        <w:t xml:space="preserve">(81) Consequently, the competence to resolve this procedure corresponds to the Competition Chamber of the CNMC Council.  </w:t>
        <w:br/>
        <w:t xml:space="preserve">5.2. Purpose of the resolution and proposal of the instructing body  </w:t>
        <w:br/>
        <w:t xml:space="preserve">(82) This Chamber must assess in the present resolution whether the requirements for the application of Article 49.3 of the LDC are met, that is, the absence of indications of infringement, in order to, as proposed by the DC, agree not to initiate the sanctioning procedure and to archive the actions carried out to date.  </w:t>
        <w:br/>
        <w:t xml:space="preserve">(83) Article 49.1 of the LDC provides that the DC will initiate sanctioning proceedings when it observes reasonable indications of the existence of prohibited conduct in Articles 1, 2, and 3 of the same Law. However, in number 3 of the aforementioned Article 49, it is added that the Council, at the proposal of the DC, will agree not to initiate sanctioning proceedings and, consequently, to archive the actions carried out when it considers that there are no indications of infringement.  </w:t>
        <w:br/>
        <w:t xml:space="preserve">78 Page 355.  </w:t>
        <w:br/>
        <w:t xml:space="preserve">79 Law 3/2013, of June 4, creating the National Commission of Markets and Competition (LCNMC).  </w:t>
        <w:br/>
        <w:t xml:space="preserve">80 Approved by Royal Decree 657/2013, of August 30.  </w:t>
        <w:br/>
        <w:t xml:space="preserve">Comisión Nacional de los Mercados y la Competencia 24 of 30  </w:t>
        <w:br/>
        <w:t xml:space="preserve">C/ Alcalá, 47 – 28014 Madrid - C/ Bolivia, 56 – 08018 Barcelona  </w:t>
        <w:br/>
        <w:t>www.cnmc.es</w:t>
      </w:r>
    </w:p>
    <w:p>
      <w:r>
        <w:rPr>
          <w:b/>
        </w:rPr>
        <w:t>[Pages 25–27]</w:t>
      </w:r>
    </w:p>
    <w:p>
      <w:r>
        <w:t xml:space="preserve">S/0009/25  </w:t>
        <w:br/>
        <w:t xml:space="preserve">GOOGLE AMP AND PROGRAMMATIC ADVERTISING  </w:t>
        <w:br/>
        <w:t xml:space="preserve">(84) On the other hand, Article 27.1 of the RDC stipulates that: “1. In order for the Council of the National Competition Commission [current CNMC] to agree not to initiate proceedings and to archive the actions in the terms established in Articles 44 and 49.3 of Law 15/2007, of July 3, the Directorate of Investigation [current Directorate of Competition] shall forward the complaint received, the prior actions carried out, if applicable, and a proposal for archiving.”  </w:t>
        <w:br/>
        <w:t xml:space="preserve">(85) In its report of September 4, 2025, the DC proposed to this Chamber the non-initiation of the sanctioning procedure and the archiving of the actions, in accordance with the provisions of Article 49.3 of the LDC, as it considers that, in relation to the reported facts brought to this file, there are no indications of infringement of the LDC.  </w:t>
        <w:br/>
        <w:t xml:space="preserve">(86) In particular, the DC points out that, from the investigation carried out, it cannot be inferred that press publishers are imposed discriminatory access conditions, nor the imposition of the use of the AMP format, while possible abuses of dominant position in the online advertising market and in the provision of advertising intermediation services to press publishers are already the subject of file AT.40670 “Google – Adtech and Data-related practices” of the European Commission.  </w:t>
        <w:br/>
        <w:t xml:space="preserve">(87) Consequently, the DC has not found indications of infringement of Article 2 of the LDC that would advise continuing the processing of the sanctioning procedure ex officio.  </w:t>
        <w:br/>
        <w:t xml:space="preserve">5.3. Assessment of the Competition Chamber  </w:t>
        <w:br/>
        <w:t xml:space="preserve">(88) The Chamber agrees with the conclusions reached by the Directorate of Competition regarding the behaviors examined in this file.  </w:t>
        <w:br/>
        <w:t xml:space="preserve">5.3.1. Possible imposition on press publishers of discriminatory access conditions  </w:t>
        <w:br/>
        <w:t xml:space="preserve">(89) CEDRO alleges that GOOGLE would be applying discriminatory conditions in accessing the contents of press publishers by entering into agreements with some publishers under opaque conditions81. On the other hand, the complaint also indicated that the objective of these agreements is precisely to create a competitive distortion, forcing the renunciation81 of press publishers and news agencies to the rights recognized by intellectual property legislation regarding their press publications82.  </w:t>
        <w:br/>
        <w:t xml:space="preserve">(90) The opacity of the terms and conditions of the contracts entered into between GOOGLE and press publishers is the subject of analysis in file S/0013/22, in which an abuse of dominant position consisting of the imposition of inequitable conditions is analyzed. Furthermore, from the information provided by the complainant and the investigation carried out by the DC as outlined in paragraphs (69) to (72), there are no indications of the existence of anti-competitive discrimination in the sense pointed out in the complaint83.  </w:t>
        <w:br/>
        <w:t xml:space="preserve">(91) The remuneration offered by GOOGLE under the GNS Agreements and the ENP Agreements varies based on the qualitative and quantitative differences of the content to which access is provided by the different press publishers and news agencies, in accordance with what is stated in paragraphs (71) and (72). Therefore, there are no indications that different prices or remuneration are assigned to equivalent services, nor that the same price or remuneration is assigned to services of different nature, but it has been established that different prices or remuneration are assigned to the respective contracted services in each contract based on objective parameters.  </w:t>
        <w:br/>
        <w:t xml:space="preserve">(92) On the other hand, there are also no indications that the different remuneration offered constitutes a competitive disadvantage for the different business partners of GOOGLE. The discrimination of business partners that are in a competitive relationship can only be considered abusive if the behavior of the company in a dominant position aims to lead to a distortion of competition among those business partners84, which does not arise from the circumstances of this specific case.  </w:t>
        <w:br/>
        <w:t xml:space="preserve">(93) Unlike the French case85, where the remuneration was the same (zero) for all press publishers regardless of the value of their content, in Spain GOOGLE has agreed on different remuneration with each press publisher and news agency (paragraph (69)), without necessarily creating a situation of competitive disadvantage as a result. From the information gathered, there are no indications that the differences in remuneration offered to press publishers or news agencies for the use of their content lack objective criteria that justify them, given that each agreement is based on different factual assumptions, nor that they generate a competitive disadvantage for some of these companies competing in the press publication market.  </w:t>
        <w:br/>
        <w:t xml:space="preserve">(94) Therefore, as can be inferred from the preceding paragraphs, in this case there is no discriminatory practice prohibited by Article 2.2.d) of the LDC and 102.c) of the TFEU, as it has been confirmed that there is no application by GOOGLE of unequal conditions for equivalent services that places some press publishers or news agencies at a disadvantage compared to others.  </w:t>
        <w:br/>
        <w:t xml:space="preserve">5.3.2. Possible imposition on press publishers of the use of the AMP format  </w:t>
        <w:br/>
        <w:t xml:space="preserve">(95) CEDRO also alleges a supposed abuse committed by GOOGLE by allegedly imposing the use of the AMP format on press publishers.  </w:t>
        <w:br/>
        <w:t xml:space="preserve">(96) In its complaint, it states that86 “[t]he use of the AMP format is essential to appear in the searches conducted by users on mobile devices. If this format is not used, the media outlet does not appear in the searches.”  </w:t>
        <w:br/>
        <w:t xml:space="preserve">(97) On the other hand, it also alleges that87 “the necessary use of the AMP format prevents press publishers from using header-bidding regarding their own digital inventory.”  </w:t>
        <w:br/>
        <w:t>(98) From the investigation of the DC, it is concluded: (i) that the AMP format is not an eligibility requirement to appear in the carousel of featured news in Google Search since August 2021 and that for editorial content to appear in Google Search, Google News, Google Discover, and Google News Showcase, it is not necessary to use the AMP format (paragraphs (73) and (74); unilaterally that it would not include excerpts of articles, photographs, and videos in its services unless publishers granted their authorization free of charge.</w:t>
      </w:r>
    </w:p>
    <w:p>
      <w:r>
        <w:rPr>
          <w:b/>
        </w:rPr>
        <w:t>[Pages 28–30]</w:t>
      </w:r>
    </w:p>
    <w:p>
      <w:r>
        <w:t xml:space="preserve">S/0009/25  </w:t>
        <w:br/>
        <w:t xml:space="preserve">GOOGLE AMP AND PROGRAMMATIC ADVERTISING  </w:t>
        <w:br/>
        <w:t xml:space="preserve">and (ii) that the AMP format is compatible with header bidding systems since 2017 (paragraph (79)).  </w:t>
        <w:br/>
        <w:t xml:space="preserve">(99) It can also be ruled out that the use of the AMP format is a factor in the ranking of results offered by Google Search, Google News, Google Discover, and Google News Showcase (paragraph (75)) or that it influences the way search results are presented (paragraph (76)), whereby GOOGLE incentivizes the use of this format over other available formats through the way it configures the operation of its services.  </w:t>
        <w:br/>
        <w:t xml:space="preserve">(100) Finally, regarding the data of its users that GOOGLE shares with publishers when they use the AMP format, the information in the file (paragraphs (77) and (78)(75)) also does not allow for the conclusion that there is an unjustified asymmetry regarding the same. Furthermore, as already stated, since there is no necessity for publishers to use the AMP format, they could always opt for other formats whose use would involve a different flow of user data than that employed in the AMP format.  </w:t>
        <w:br/>
        <w:t xml:space="preserve">(101) Therefore, there are no indications of anti-competitive conduct by GOOGLE in connection with the AMP format in the online advertising market and in the provision of advertising intermediation services to press publishers.  </w:t>
        <w:br/>
        <w:t xml:space="preserve">5.3.3. Abuse of Dominant Position in the Online Advertising Market and in the Provision of Advertising Intermediation Services to Press Publishers  </w:t>
        <w:br/>
        <w:t xml:space="preserve">(102) Lastly, CEDRO also denounces the alleged favoritism by GOOGLE towards its own internet advertising services to the detriment of publishers, as well as rival providers.  </w:t>
        <w:br/>
        <w:t xml:space="preserve">(103) According to CEDRO88, “Google has a clear conflict of interest that it always ‘resolves’ in its favor through the linking of the services it provides, the control of data, and through various techniques (including the imposition of access formats), which prevent or hinder press publishers from enjoying effective competition over their digital inventory.”  </w:t>
        <w:br/>
        <w:t xml:space="preserve">(104) In this case, the behaviors denounced by CEDRO have already been investigated by the European Commission in the context of case AT.40670 “Google - Adtech and Data-related practices”89. In fact, on September 5, 2025, one day after the proposal for closure in the present matter was raised, the Commission made public its decision to fine GOOGLE in the amount of 2.95 billion euros in that file.  </w:t>
        <w:br/>
        <w:t xml:space="preserve">(105) According to the press release issued by the CE90, the subject of the decision (the full text of which is still not available as of the date of this resolution) of file AT.40670 concerns whether GOOGLE has violated the competition rules of the European Union by favoring, through a wide variety of practices, its own technology services for displaying online advertising in the so-called “ad tech” supply chain, to the detriment of competing advertising technology service providers, advertisers, and online publishers. Likewise, through a decision dated June 14, 202391, the CE decided to expand the subject of the file to additional behaviors consisting of GOOGLE favoring its own display advertising technology services.  </w:t>
        <w:br/>
        <w:t xml:space="preserve">(106) According to Article 11.6 of Council Regulation (EC) No. 1/2003 of December 16, 2002, on the application of the competition rules laid down in Articles 81 and 82 of the Treaty (the “Regulation 1/2003”), the initiation by the European Commission of a procedure to ascertain the infringement of Articles 101 or 102 of the TFEU entails the automatic loss of competence for this purpose by the authorities of the Member States92. Therefore, the DC proposed in this specific case not to initiate sanctioning proceedings, as well as to close the present actions, without prejudice to the DC being able to carry out, if applicable, ex officio actions if it perceives the existence of facts that could justify the opening of investigations under the LDC or if there are elements of judgment that serve to provide indications of a possible infringement of the LDC in relation to the behaviors denounced by GOOGLE.  </w:t>
        <w:br/>
        <w:t xml:space="preserve">89 All information regarding this file is available at the following URL: https://competition-cases.ec.europa.eu/cases/AT.40670.  </w:t>
        <w:br/>
        <w:t xml:space="preserve">90 Available at the link https://ec.europa.eu/commission/presscorner/detail/en/ip_25_1992  </w:t>
        <w:br/>
        <w:t xml:space="preserve">91 The second decision of the CE can be consulted at the following URL: https://ec.europa.eu/competition/antitrust/cases1/202324/AT_40670_9238077_8951_3.pdf.  </w:t>
        <w:br/>
        <w:t xml:space="preserve">92 Article 11.6 of Regulation 1/2003: “The initiation of a procedure by the Commission with a view to adopting a decision under Chapter III shall deprive the competition authorities of the Member States of their competence to apply Articles 81 and 82 of the Treaty. If a competition authority of a Member State is already acting in a matter, the Commission shall only initiate the procedure after consulting the national competition authority.”  </w:t>
        <w:br/>
        <w:t xml:space="preserve">(107) This Chamber observes that the European Commission has already investigated and sanctioned GOOGLE for the same issues that CEDRO highlights in its complaint. In this sense, given that this infringement appears to encompass the entirety of the European Economic Area, this Chamber considers that it is not appropriate to initiate a sanctioning file in these terms, since the possible infringing conduct has already been investigated and sanctioned by the European Commission.  </w:t>
        <w:br/>
        <w:t xml:space="preserve">For all the above reasons, this Chamber  </w:t>
        <w:br/>
        <w:t xml:space="preserve">6. RESOLVES  </w:t>
        <w:br/>
        <w:t xml:space="preserve">Sole. Not to initiate sanctioning proceedings and to agree to close the actions taken against GOOGLE following the complaint filed by CEDRO, considering that there are no indications of infringement of Law 15/2007, of July 3, on the Defense of Competition in this file.  </w:t>
        <w:br/>
        <w:t>This Resolution shall be communicated to the Competition Directorate of the National Commission on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